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006F03" w:rsidR="00364392" w:rsidP="00006F03" w:rsidRDefault="00006F03" w14:paraId="23CCDCD3" w14:textId="1C6C886A">
      <w:pPr>
        <w:pStyle w:val="Titel"/>
        <w:rPr>
          <w:bCs/>
        </w:rPr>
      </w:pPr>
      <w:bookmarkStart w:name="_Toc508894306" w:id="0"/>
      <w:r w:rsidRPr="00006F03">
        <w:t xml:space="preserve">Annex </w:t>
      </w:r>
      <w:r w:rsidR="00CE7987">
        <w:t>II</w:t>
      </w:r>
      <w:r w:rsidRPr="00006F03">
        <w:t xml:space="preserve"> – Core TSOs general measures and action plan to avoid future cross-zonal capacity reductions</w:t>
      </w:r>
    </w:p>
    <w:p w:rsidRPr="002E2FFC" w:rsidR="00A141AD" w:rsidP="00006F03" w:rsidRDefault="00A141AD" w14:paraId="1F8CD1B0" w14:textId="77777777">
      <w:pPr>
        <w:pStyle w:val="Titel"/>
        <w:rPr>
          <w:highlight w:val="yellow"/>
        </w:rPr>
      </w:pPr>
    </w:p>
    <w:p w:rsidRPr="002E2FFC" w:rsidR="00167F46" w:rsidP="00006F03" w:rsidRDefault="00167F46" w14:paraId="78551371" w14:textId="5DF2223D">
      <w:pPr>
        <w:pStyle w:val="Titel"/>
        <w:rPr>
          <w:highlight w:val="yellow"/>
        </w:rPr>
      </w:pPr>
    </w:p>
    <w:p w:rsidR="00F200C2" w:rsidP="00167F46" w:rsidRDefault="00F200C2" w14:paraId="373E77DD" w14:textId="77777777">
      <w:pPr>
        <w:pStyle w:val="Department"/>
        <w:jc w:val="center"/>
        <w:rPr>
          <w:rFonts w:ascii="Arial" w:hAnsi="Arial" w:cs="Arial"/>
          <w:bCs w:val="0"/>
          <w:color w:val="auto"/>
        </w:rPr>
      </w:pPr>
    </w:p>
    <w:p w:rsidR="00F200C2" w:rsidP="00167F46" w:rsidRDefault="00F200C2" w14:paraId="129B19E6" w14:textId="77777777">
      <w:pPr>
        <w:pStyle w:val="Department"/>
        <w:jc w:val="center"/>
        <w:rPr>
          <w:rFonts w:ascii="Arial" w:hAnsi="Arial" w:cs="Arial"/>
          <w:bCs w:val="0"/>
          <w:color w:val="auto"/>
        </w:rPr>
      </w:pPr>
    </w:p>
    <w:p w:rsidR="00F200C2" w:rsidP="00167F46" w:rsidRDefault="00F200C2" w14:paraId="3F66C93C" w14:textId="77777777">
      <w:pPr>
        <w:pStyle w:val="Department"/>
        <w:jc w:val="center"/>
        <w:rPr>
          <w:rFonts w:ascii="Arial" w:hAnsi="Arial" w:cs="Arial"/>
          <w:bCs w:val="0"/>
          <w:color w:val="auto"/>
        </w:rPr>
      </w:pPr>
    </w:p>
    <w:p w:rsidR="00F200C2" w:rsidP="00167F46" w:rsidRDefault="00F200C2" w14:paraId="50427475" w14:textId="77777777">
      <w:pPr>
        <w:pStyle w:val="Department"/>
        <w:jc w:val="center"/>
        <w:rPr>
          <w:rFonts w:ascii="Arial" w:hAnsi="Arial" w:cs="Arial"/>
          <w:bCs w:val="0"/>
          <w:color w:val="auto"/>
        </w:rPr>
      </w:pPr>
    </w:p>
    <w:p w:rsidR="00F200C2" w:rsidP="00167F46" w:rsidRDefault="00F200C2" w14:paraId="1724B3C8" w14:textId="77777777">
      <w:pPr>
        <w:pStyle w:val="Department"/>
        <w:jc w:val="center"/>
        <w:rPr>
          <w:rFonts w:ascii="Arial" w:hAnsi="Arial" w:cs="Arial"/>
          <w:bCs w:val="0"/>
          <w:color w:val="auto"/>
        </w:rPr>
      </w:pPr>
    </w:p>
    <w:p w:rsidR="00F200C2" w:rsidP="00167F46" w:rsidRDefault="00F200C2" w14:paraId="228494D5" w14:textId="77777777">
      <w:pPr>
        <w:pStyle w:val="Department"/>
        <w:jc w:val="center"/>
        <w:rPr>
          <w:rFonts w:ascii="Arial" w:hAnsi="Arial" w:cs="Arial"/>
          <w:bCs w:val="0"/>
          <w:color w:val="auto"/>
        </w:rPr>
      </w:pPr>
    </w:p>
    <w:p w:rsidR="00F200C2" w:rsidP="00167F46" w:rsidRDefault="00F200C2" w14:paraId="047A9779" w14:textId="77777777">
      <w:pPr>
        <w:pStyle w:val="Department"/>
        <w:jc w:val="center"/>
        <w:rPr>
          <w:rFonts w:ascii="Arial" w:hAnsi="Arial" w:cs="Arial"/>
          <w:bCs w:val="0"/>
          <w:color w:val="auto"/>
        </w:rPr>
      </w:pPr>
    </w:p>
    <w:p w:rsidR="00F200C2" w:rsidP="00167F46" w:rsidRDefault="00F200C2" w14:paraId="357CBD16" w14:textId="77777777">
      <w:pPr>
        <w:pStyle w:val="Department"/>
        <w:jc w:val="center"/>
        <w:rPr>
          <w:rFonts w:ascii="Arial" w:hAnsi="Arial" w:cs="Arial"/>
          <w:bCs w:val="0"/>
          <w:color w:val="auto"/>
        </w:rPr>
      </w:pPr>
    </w:p>
    <w:p w:rsidRPr="003D53FF" w:rsidR="00167F46" w:rsidP="4A15EC48" w:rsidRDefault="4A15EC48" w14:paraId="72D7DED4" w14:textId="1B7CFFC6">
      <w:pPr>
        <w:pStyle w:val="Department"/>
        <w:jc w:val="center"/>
        <w:rPr>
          <w:rFonts w:ascii="Arial" w:hAnsi="Arial" w:cs="Arial"/>
          <w:color w:val="auto"/>
        </w:rPr>
      </w:pPr>
      <w:r w:rsidRPr="4A15EC48">
        <w:rPr>
          <w:rFonts w:ascii="Arial" w:hAnsi="Arial" w:cs="Arial"/>
          <w:color w:val="auto"/>
        </w:rPr>
        <w:t>Q</w:t>
      </w:r>
      <w:r w:rsidR="007154E9">
        <w:rPr>
          <w:rFonts w:ascii="Arial" w:hAnsi="Arial" w:cs="Arial"/>
          <w:color w:val="auto"/>
        </w:rPr>
        <w:t>4</w:t>
      </w:r>
      <w:r w:rsidRPr="4A15EC48">
        <w:rPr>
          <w:rFonts w:ascii="Arial" w:hAnsi="Arial" w:cs="Arial"/>
          <w:color w:val="auto"/>
        </w:rPr>
        <w:t xml:space="preserve"> 2024</w:t>
      </w:r>
    </w:p>
    <w:p w:rsidRPr="003D53FF" w:rsidR="00167F46" w:rsidP="00167F46" w:rsidRDefault="00167F46" w14:paraId="5E8C6E83" w14:textId="77777777">
      <w:pPr>
        <w:pStyle w:val="Department"/>
        <w:jc w:val="center"/>
        <w:rPr>
          <w:rFonts w:ascii="Arial" w:hAnsi="Arial" w:cs="Arial"/>
          <w:b w:val="0"/>
          <w:color w:val="auto"/>
        </w:rPr>
      </w:pPr>
    </w:p>
    <w:p w:rsidR="00F200C2" w:rsidP="00D46052" w:rsidRDefault="00F200C2" w14:paraId="61BB4651" w14:textId="77777777">
      <w:pPr>
        <w:tabs>
          <w:tab w:val="left" w:pos="7864"/>
        </w:tabs>
        <w:rPr>
          <w:rFonts w:cs="Arial" w:eastAsiaTheme="minorHAnsi"/>
          <w:bCs/>
          <w:color w:val="7F7F7F" w:themeColor="text1" w:themeTint="80"/>
          <w:kern w:val="32"/>
          <w:sz w:val="24"/>
          <w:szCs w:val="26"/>
          <w:lang w:val="en-GB" w:eastAsia="nl-NL"/>
        </w:rPr>
      </w:pPr>
    </w:p>
    <w:p w:rsidR="00D46052" w:rsidP="00D46052" w:rsidRDefault="00D46052" w14:paraId="61DA0601" w14:textId="3BF69668">
      <w:pPr>
        <w:tabs>
          <w:tab w:val="left" w:pos="7864"/>
        </w:tabs>
        <w:rPr>
          <w:rFonts w:cs="Arial" w:eastAsiaTheme="minorHAnsi"/>
          <w:bCs/>
          <w:color w:val="7F7F7F" w:themeColor="text1" w:themeTint="80"/>
          <w:kern w:val="32"/>
          <w:sz w:val="24"/>
          <w:szCs w:val="26"/>
          <w:lang w:val="en-GB"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1336453740"/>
        <w:docPartObj>
          <w:docPartGallery w:val="Table of Contents"/>
          <w:docPartUnique/>
        </w:docPartObj>
        <w:rPr>
          <w:rFonts w:ascii="Arial" w:hAnsi="Arial" w:cs="Arial" w:asciiTheme="minorAscii" w:hAnsiTheme="minorAscii" w:cstheme="minorAscii"/>
          <w:b w:val="1"/>
          <w:bCs w:val="1"/>
          <w:i w:val="1"/>
          <w:iCs w:val="1"/>
          <w:sz w:val="24"/>
          <w:szCs w:val="24"/>
        </w:rPr>
      </w:sdtPr>
      <w:sdtEndPr>
        <w:rPr>
          <w:rFonts w:ascii="Arial" w:hAnsi="Arial" w:cs="Arial" w:asciiTheme="minorAscii" w:hAnsiTheme="minorAscii" w:cstheme="minorAscii"/>
          <w:b w:val="1"/>
          <w:bCs w:val="1"/>
          <w:i w:val="1"/>
          <w:iCs w:val="1"/>
          <w:sz w:val="24"/>
          <w:szCs w:val="24"/>
        </w:rPr>
      </w:sdtEndPr>
      <w:sdtContent>
        <w:p w:rsidR="00D46052" w:rsidP="03D1E99D" w:rsidRDefault="0A478607" w14:paraId="2E22A2E5" w14:textId="3482BD99">
          <w:pPr>
            <w:tabs>
              <w:tab w:val="left" w:pos="7864"/>
            </w:tabs>
            <w:rPr>
              <w:color w:val="5F5F5F" w:themeColor="text2"/>
              <w:lang w:val="en-GB"/>
            </w:rPr>
          </w:pPr>
          <w:r w:rsidRPr="0A478607">
            <w:rPr>
              <w:color w:val="5F5F5F" w:themeColor="background2" w:themeShade="80"/>
              <w:lang w:val="en-GB"/>
            </w:rPr>
            <w:t>Table of Contents</w:t>
          </w:r>
        </w:p>
        <w:p w:rsidRPr="00D46052" w:rsidR="00D46052" w:rsidP="03D1E99D" w:rsidRDefault="00D46052" w14:paraId="16B05C45" w14:textId="77777777">
          <w:pPr>
            <w:tabs>
              <w:tab w:val="left" w:pos="7864"/>
            </w:tabs>
            <w:rPr>
              <w:b/>
              <w:bCs/>
              <w:color w:val="5F5F5F" w:themeColor="text2"/>
              <w:lang w:val="en-GB"/>
            </w:rPr>
          </w:pPr>
        </w:p>
        <w:p w:rsidR="00AC6725" w:rsidP="0A478607" w:rsidRDefault="00C632C0" w14:paraId="4DB2EAF7" w14:textId="04556A07">
          <w:pPr>
            <w:pStyle w:val="Verzeichnis1"/>
            <w:tabs>
              <w:tab w:val="right" w:leader="dot" w:pos="9285"/>
            </w:tabs>
            <w:rPr>
              <w:rStyle w:val="Hyperlink"/>
              <w:noProof/>
              <w:kern w:val="2"/>
              <w:lang w:eastAsia="en-GB"/>
              <w14:ligatures w14:val="standardContextual"/>
            </w:rPr>
          </w:pPr>
          <w:r>
            <w:fldChar w:fldCharType="begin"/>
          </w:r>
          <w:r w:rsidR="00825958">
            <w:instrText>TOC \o "1-3" \h \z \u</w:instrText>
          </w:r>
          <w:r>
            <w:fldChar w:fldCharType="separate"/>
          </w:r>
          <w:hyperlink w:anchor="_Toc452422773">
            <w:r w:rsidRPr="0A478607" w:rsidR="0A478607">
              <w:rPr>
                <w:rStyle w:val="Hyperlink"/>
              </w:rPr>
              <w:t>Introduction</w:t>
            </w:r>
            <w:r w:rsidR="00825958">
              <w:tab/>
            </w:r>
            <w:r w:rsidR="00825958">
              <w:fldChar w:fldCharType="begin"/>
            </w:r>
            <w:r w:rsidR="00825958">
              <w:instrText>PAGEREF _Toc452422773 \h</w:instrText>
            </w:r>
            <w:r w:rsidR="00825958">
              <w:fldChar w:fldCharType="separate"/>
            </w:r>
            <w:r w:rsidRPr="0A478607" w:rsidR="0A478607">
              <w:rPr>
                <w:rStyle w:val="Hyperlink"/>
              </w:rPr>
              <w:t>2</w:t>
            </w:r>
            <w:r w:rsidR="00825958">
              <w:fldChar w:fldCharType="end"/>
            </w:r>
          </w:hyperlink>
        </w:p>
        <w:p w:rsidR="00AC6725" w:rsidP="0A478607" w:rsidRDefault="0A478607" w14:paraId="63ECE929" w14:textId="52A69923">
          <w:pPr>
            <w:pStyle w:val="Verzeichnis1"/>
            <w:tabs>
              <w:tab w:val="left" w:pos="480"/>
              <w:tab w:val="right" w:leader="dot" w:pos="9285"/>
            </w:tabs>
            <w:rPr>
              <w:rStyle w:val="Hyperlink"/>
              <w:noProof/>
              <w:kern w:val="2"/>
              <w:lang w:eastAsia="en-GB"/>
              <w14:ligatures w14:val="standardContextual"/>
            </w:rPr>
          </w:pPr>
          <w:hyperlink w:anchor="_Toc1031562619">
            <w:r w:rsidRPr="0A478607">
              <w:rPr>
                <w:rStyle w:val="Hyperlink"/>
              </w:rPr>
              <w:t>1.</w:t>
            </w:r>
            <w:r w:rsidR="00C632C0">
              <w:tab/>
            </w:r>
            <w:r w:rsidRPr="0A478607">
              <w:rPr>
                <w:rStyle w:val="Hyperlink"/>
              </w:rPr>
              <w:t>CEPS</w:t>
            </w:r>
            <w:r w:rsidR="00C632C0">
              <w:tab/>
            </w:r>
            <w:r w:rsidR="00C632C0">
              <w:fldChar w:fldCharType="begin"/>
            </w:r>
            <w:r w:rsidR="00C632C0">
              <w:instrText>PAGEREF _Toc1031562619 \h</w:instrText>
            </w:r>
            <w:r w:rsidR="00C632C0">
              <w:fldChar w:fldCharType="separate"/>
            </w:r>
            <w:r w:rsidRPr="0A478607">
              <w:rPr>
                <w:rStyle w:val="Hyperlink"/>
              </w:rPr>
              <w:t>4</w:t>
            </w:r>
            <w:r w:rsidR="00C632C0">
              <w:fldChar w:fldCharType="end"/>
            </w:r>
          </w:hyperlink>
        </w:p>
        <w:p w:rsidR="00AC6725" w:rsidP="0A478607" w:rsidRDefault="0A478607" w14:paraId="12B9A529" w14:textId="1B118A48">
          <w:pPr>
            <w:pStyle w:val="Verzeichnis1"/>
            <w:tabs>
              <w:tab w:val="left" w:pos="480"/>
              <w:tab w:val="right" w:leader="dot" w:pos="9285"/>
            </w:tabs>
            <w:rPr>
              <w:rStyle w:val="Hyperlink"/>
              <w:noProof/>
              <w:kern w:val="2"/>
              <w:lang w:eastAsia="en-GB"/>
              <w14:ligatures w14:val="standardContextual"/>
            </w:rPr>
          </w:pPr>
          <w:hyperlink w:anchor="_Toc962761897">
            <w:r w:rsidRPr="0A478607">
              <w:rPr>
                <w:rStyle w:val="Hyperlink"/>
              </w:rPr>
              <w:t>2.</w:t>
            </w:r>
            <w:r w:rsidR="00C632C0">
              <w:tab/>
            </w:r>
            <w:r w:rsidRPr="0A478607">
              <w:rPr>
                <w:rStyle w:val="Hyperlink"/>
              </w:rPr>
              <w:t>DAVinCy TSOs</w:t>
            </w:r>
            <w:r w:rsidR="00C632C0">
              <w:tab/>
            </w:r>
            <w:r w:rsidR="00C632C0">
              <w:fldChar w:fldCharType="begin"/>
            </w:r>
            <w:r w:rsidR="00C632C0">
              <w:instrText>PAGEREF _Toc962761897 \h</w:instrText>
            </w:r>
            <w:r w:rsidR="00C632C0">
              <w:fldChar w:fldCharType="separate"/>
            </w:r>
            <w:r w:rsidRPr="0A478607">
              <w:rPr>
                <w:rStyle w:val="Hyperlink"/>
              </w:rPr>
              <w:t>4</w:t>
            </w:r>
            <w:r w:rsidR="00C632C0">
              <w:fldChar w:fldCharType="end"/>
            </w:r>
          </w:hyperlink>
        </w:p>
        <w:p w:rsidR="00AC6725" w:rsidP="0A478607" w:rsidRDefault="0A478607" w14:paraId="7701D282" w14:textId="053DB073">
          <w:pPr>
            <w:pStyle w:val="Verzeichnis2"/>
            <w:tabs>
              <w:tab w:val="left" w:pos="660"/>
              <w:tab w:val="right" w:leader="dot" w:pos="9285"/>
            </w:tabs>
            <w:rPr>
              <w:rStyle w:val="Hyperlink"/>
              <w:noProof/>
              <w:kern w:val="2"/>
              <w:lang w:eastAsia="en-GB"/>
              <w14:ligatures w14:val="standardContextual"/>
            </w:rPr>
          </w:pPr>
          <w:hyperlink w:anchor="_Toc181642099">
            <w:r w:rsidRPr="0A478607">
              <w:rPr>
                <w:rStyle w:val="Hyperlink"/>
              </w:rPr>
              <w:t>2.1.</w:t>
            </w:r>
            <w:r w:rsidR="00C632C0">
              <w:tab/>
            </w:r>
            <w:r w:rsidRPr="0A478607">
              <w:rPr>
                <w:rStyle w:val="Hyperlink"/>
              </w:rPr>
              <w:t>APG</w:t>
            </w:r>
            <w:r w:rsidR="00C632C0">
              <w:tab/>
            </w:r>
            <w:r w:rsidR="00C632C0">
              <w:fldChar w:fldCharType="begin"/>
            </w:r>
            <w:r w:rsidR="00C632C0">
              <w:instrText>PAGEREF _Toc181642099 \h</w:instrText>
            </w:r>
            <w:r w:rsidR="00C632C0">
              <w:fldChar w:fldCharType="separate"/>
            </w:r>
            <w:r w:rsidRPr="0A478607">
              <w:rPr>
                <w:rStyle w:val="Hyperlink"/>
              </w:rPr>
              <w:t>5</w:t>
            </w:r>
            <w:r w:rsidR="00C632C0">
              <w:fldChar w:fldCharType="end"/>
            </w:r>
          </w:hyperlink>
        </w:p>
        <w:p w:rsidR="00AC6725" w:rsidP="0A478607" w:rsidRDefault="0A478607" w14:paraId="1BF5C369" w14:textId="5EF2BDFC">
          <w:pPr>
            <w:pStyle w:val="Verzeichnis2"/>
            <w:tabs>
              <w:tab w:val="left" w:pos="660"/>
              <w:tab w:val="right" w:leader="dot" w:pos="9285"/>
            </w:tabs>
            <w:rPr>
              <w:rStyle w:val="Hyperlink"/>
              <w:noProof/>
              <w:kern w:val="2"/>
              <w:lang w:eastAsia="en-GB"/>
              <w14:ligatures w14:val="standardContextual"/>
            </w:rPr>
          </w:pPr>
          <w:hyperlink w:anchor="_Toc2100959461">
            <w:r w:rsidRPr="0A478607">
              <w:rPr>
                <w:rStyle w:val="Hyperlink"/>
              </w:rPr>
              <w:t>2.2.</w:t>
            </w:r>
            <w:r w:rsidR="00C632C0">
              <w:tab/>
            </w:r>
            <w:r w:rsidRPr="0A478607">
              <w:rPr>
                <w:rStyle w:val="Hyperlink"/>
              </w:rPr>
              <w:t>German TSOs</w:t>
            </w:r>
            <w:r w:rsidR="00C632C0">
              <w:tab/>
            </w:r>
            <w:r w:rsidR="00C632C0">
              <w:fldChar w:fldCharType="begin"/>
            </w:r>
            <w:r w:rsidR="00C632C0">
              <w:instrText>PAGEREF _Toc2100959461 \h</w:instrText>
            </w:r>
            <w:r w:rsidR="00C632C0">
              <w:fldChar w:fldCharType="separate"/>
            </w:r>
            <w:r w:rsidRPr="0A478607">
              <w:rPr>
                <w:rStyle w:val="Hyperlink"/>
              </w:rPr>
              <w:t>5</w:t>
            </w:r>
            <w:r w:rsidR="00C632C0">
              <w:fldChar w:fldCharType="end"/>
            </w:r>
          </w:hyperlink>
        </w:p>
        <w:p w:rsidR="00AC6725" w:rsidP="0A478607" w:rsidRDefault="0A478607" w14:paraId="3E564220" w14:textId="37233E50">
          <w:pPr>
            <w:pStyle w:val="Verzeichnis2"/>
            <w:tabs>
              <w:tab w:val="left" w:pos="660"/>
              <w:tab w:val="right" w:leader="dot" w:pos="9285"/>
            </w:tabs>
            <w:rPr>
              <w:rStyle w:val="Hyperlink"/>
              <w:noProof/>
              <w:kern w:val="2"/>
              <w:lang w:eastAsia="en-GB"/>
              <w14:ligatures w14:val="standardContextual"/>
            </w:rPr>
          </w:pPr>
          <w:hyperlink w:anchor="_Toc1747601071">
            <w:r w:rsidRPr="0A478607">
              <w:rPr>
                <w:rStyle w:val="Hyperlink"/>
              </w:rPr>
              <w:t>2.3.</w:t>
            </w:r>
            <w:r w:rsidR="00C632C0">
              <w:tab/>
            </w:r>
            <w:r w:rsidRPr="0A478607">
              <w:rPr>
                <w:rStyle w:val="Hyperlink"/>
              </w:rPr>
              <w:t>TENNET TSO BV</w:t>
            </w:r>
            <w:r w:rsidR="00C632C0">
              <w:tab/>
            </w:r>
            <w:r w:rsidR="00C632C0">
              <w:fldChar w:fldCharType="begin"/>
            </w:r>
            <w:r w:rsidR="00C632C0">
              <w:instrText>PAGEREF _Toc1747601071 \h</w:instrText>
            </w:r>
            <w:r w:rsidR="00C632C0">
              <w:fldChar w:fldCharType="separate"/>
            </w:r>
            <w:r w:rsidRPr="0A478607">
              <w:rPr>
                <w:rStyle w:val="Hyperlink"/>
              </w:rPr>
              <w:t>6</w:t>
            </w:r>
            <w:r w:rsidR="00C632C0">
              <w:fldChar w:fldCharType="end"/>
            </w:r>
          </w:hyperlink>
        </w:p>
        <w:p w:rsidR="00AC6725" w:rsidP="0A478607" w:rsidRDefault="0A478607" w14:paraId="0E339B32" w14:textId="3EF6377A">
          <w:pPr>
            <w:pStyle w:val="Verzeichnis1"/>
            <w:tabs>
              <w:tab w:val="left" w:pos="480"/>
              <w:tab w:val="right" w:leader="dot" w:pos="9285"/>
            </w:tabs>
            <w:rPr>
              <w:rStyle w:val="Hyperlink"/>
              <w:noProof/>
              <w:kern w:val="2"/>
              <w:lang w:eastAsia="en-GB"/>
              <w14:ligatures w14:val="standardContextual"/>
            </w:rPr>
          </w:pPr>
          <w:hyperlink w:anchor="_Toc275666727">
            <w:r w:rsidRPr="0A478607">
              <w:rPr>
                <w:rStyle w:val="Hyperlink"/>
              </w:rPr>
              <w:t>3.</w:t>
            </w:r>
            <w:r w:rsidR="00C632C0">
              <w:tab/>
            </w:r>
            <w:r w:rsidRPr="0A478607">
              <w:rPr>
                <w:rStyle w:val="Hyperlink"/>
              </w:rPr>
              <w:t>ELES</w:t>
            </w:r>
            <w:r w:rsidR="00C632C0">
              <w:tab/>
            </w:r>
            <w:r w:rsidR="00C632C0">
              <w:fldChar w:fldCharType="begin"/>
            </w:r>
            <w:r w:rsidR="00C632C0">
              <w:instrText>PAGEREF _Toc275666727 \h</w:instrText>
            </w:r>
            <w:r w:rsidR="00C632C0">
              <w:fldChar w:fldCharType="separate"/>
            </w:r>
            <w:r w:rsidRPr="0A478607">
              <w:rPr>
                <w:rStyle w:val="Hyperlink"/>
              </w:rPr>
              <w:t>7</w:t>
            </w:r>
            <w:r w:rsidR="00C632C0">
              <w:fldChar w:fldCharType="end"/>
            </w:r>
          </w:hyperlink>
        </w:p>
        <w:p w:rsidR="00AC6725" w:rsidP="0A478607" w:rsidRDefault="0A478607" w14:paraId="6CD59145" w14:textId="07BCEF1F">
          <w:pPr>
            <w:pStyle w:val="Verzeichnis1"/>
            <w:tabs>
              <w:tab w:val="left" w:pos="480"/>
              <w:tab w:val="right" w:leader="dot" w:pos="9285"/>
            </w:tabs>
            <w:rPr>
              <w:rStyle w:val="Hyperlink"/>
              <w:noProof/>
              <w:kern w:val="2"/>
              <w:lang w:eastAsia="en-GB"/>
              <w14:ligatures w14:val="standardContextual"/>
            </w:rPr>
          </w:pPr>
          <w:hyperlink w:anchor="_Toc207466340">
            <w:r w:rsidRPr="0A478607">
              <w:rPr>
                <w:rStyle w:val="Hyperlink"/>
              </w:rPr>
              <w:t>4.</w:t>
            </w:r>
            <w:r w:rsidR="00C632C0">
              <w:tab/>
            </w:r>
            <w:r w:rsidRPr="0A478607">
              <w:rPr>
                <w:rStyle w:val="Hyperlink"/>
              </w:rPr>
              <w:t>ELIA</w:t>
            </w:r>
            <w:r w:rsidR="00C632C0">
              <w:tab/>
            </w:r>
            <w:r w:rsidR="00C632C0">
              <w:fldChar w:fldCharType="begin"/>
            </w:r>
            <w:r w:rsidR="00C632C0">
              <w:instrText>PAGEREF _Toc207466340 \h</w:instrText>
            </w:r>
            <w:r w:rsidR="00C632C0">
              <w:fldChar w:fldCharType="separate"/>
            </w:r>
            <w:r w:rsidRPr="0A478607">
              <w:rPr>
                <w:rStyle w:val="Hyperlink"/>
              </w:rPr>
              <w:t>8</w:t>
            </w:r>
            <w:r w:rsidR="00C632C0">
              <w:fldChar w:fldCharType="end"/>
            </w:r>
          </w:hyperlink>
        </w:p>
        <w:p w:rsidR="00AC6725" w:rsidP="0A478607" w:rsidRDefault="0A478607" w14:paraId="5833088A" w14:textId="04008B44">
          <w:pPr>
            <w:pStyle w:val="Verzeichnis1"/>
            <w:tabs>
              <w:tab w:val="left" w:pos="480"/>
              <w:tab w:val="right" w:leader="dot" w:pos="9285"/>
            </w:tabs>
            <w:rPr>
              <w:rStyle w:val="Hyperlink"/>
              <w:noProof/>
              <w:kern w:val="2"/>
              <w:lang w:eastAsia="en-GB"/>
              <w14:ligatures w14:val="standardContextual"/>
            </w:rPr>
          </w:pPr>
          <w:hyperlink w:anchor="_Toc1481775661">
            <w:r w:rsidRPr="0A478607">
              <w:rPr>
                <w:rStyle w:val="Hyperlink"/>
              </w:rPr>
              <w:t>5.</w:t>
            </w:r>
            <w:r w:rsidR="00C632C0">
              <w:tab/>
            </w:r>
            <w:r w:rsidRPr="0A478607">
              <w:rPr>
                <w:rStyle w:val="Hyperlink"/>
              </w:rPr>
              <w:t>HOPS</w:t>
            </w:r>
            <w:r w:rsidR="00C632C0">
              <w:tab/>
            </w:r>
            <w:r w:rsidR="00C632C0">
              <w:fldChar w:fldCharType="begin"/>
            </w:r>
            <w:r w:rsidR="00C632C0">
              <w:instrText>PAGEREF _Toc1481775661 \h</w:instrText>
            </w:r>
            <w:r w:rsidR="00C632C0">
              <w:fldChar w:fldCharType="separate"/>
            </w:r>
            <w:r w:rsidRPr="0A478607">
              <w:rPr>
                <w:rStyle w:val="Hyperlink"/>
              </w:rPr>
              <w:t>8</w:t>
            </w:r>
            <w:r w:rsidR="00C632C0">
              <w:fldChar w:fldCharType="end"/>
            </w:r>
          </w:hyperlink>
        </w:p>
        <w:p w:rsidR="00AC6725" w:rsidP="0A478607" w:rsidRDefault="0A478607" w14:paraId="38DB755E" w14:textId="4F062FFC">
          <w:pPr>
            <w:pStyle w:val="Verzeichnis1"/>
            <w:tabs>
              <w:tab w:val="left" w:pos="480"/>
              <w:tab w:val="right" w:leader="dot" w:pos="9285"/>
            </w:tabs>
            <w:rPr>
              <w:rStyle w:val="Hyperlink"/>
              <w:noProof/>
              <w:kern w:val="2"/>
              <w:lang w:eastAsia="en-GB"/>
              <w14:ligatures w14:val="standardContextual"/>
            </w:rPr>
          </w:pPr>
          <w:hyperlink w:anchor="_Toc1555774596">
            <w:r w:rsidRPr="0A478607">
              <w:rPr>
                <w:rStyle w:val="Hyperlink"/>
              </w:rPr>
              <w:t>6.</w:t>
            </w:r>
            <w:r w:rsidR="00C632C0">
              <w:tab/>
            </w:r>
            <w:r w:rsidRPr="0A478607">
              <w:rPr>
                <w:rStyle w:val="Hyperlink"/>
              </w:rPr>
              <w:t>MAVIR</w:t>
            </w:r>
            <w:r w:rsidR="00C632C0">
              <w:tab/>
            </w:r>
            <w:r w:rsidR="00C632C0">
              <w:fldChar w:fldCharType="begin"/>
            </w:r>
            <w:r w:rsidR="00C632C0">
              <w:instrText>PAGEREF _Toc1555774596 \h</w:instrText>
            </w:r>
            <w:r w:rsidR="00C632C0">
              <w:fldChar w:fldCharType="separate"/>
            </w:r>
            <w:r w:rsidRPr="0A478607">
              <w:rPr>
                <w:rStyle w:val="Hyperlink"/>
              </w:rPr>
              <w:t>9</w:t>
            </w:r>
            <w:r w:rsidR="00C632C0">
              <w:fldChar w:fldCharType="end"/>
            </w:r>
          </w:hyperlink>
        </w:p>
        <w:p w:rsidR="00AC6725" w:rsidP="0A478607" w:rsidRDefault="0A478607" w14:paraId="56326BD1" w14:textId="34875363">
          <w:pPr>
            <w:pStyle w:val="Verzeichnis1"/>
            <w:tabs>
              <w:tab w:val="left" w:pos="480"/>
              <w:tab w:val="right" w:leader="dot" w:pos="9285"/>
            </w:tabs>
            <w:rPr>
              <w:rStyle w:val="Hyperlink"/>
              <w:noProof/>
              <w:kern w:val="2"/>
              <w:lang w:eastAsia="en-GB"/>
              <w14:ligatures w14:val="standardContextual"/>
            </w:rPr>
          </w:pPr>
          <w:hyperlink w:anchor="_Toc1906334026">
            <w:r w:rsidRPr="0A478607">
              <w:rPr>
                <w:rStyle w:val="Hyperlink"/>
              </w:rPr>
              <w:t>7.</w:t>
            </w:r>
            <w:r w:rsidR="00C632C0">
              <w:tab/>
            </w:r>
            <w:r w:rsidRPr="0A478607">
              <w:rPr>
                <w:rStyle w:val="Hyperlink"/>
              </w:rPr>
              <w:t>PSE</w:t>
            </w:r>
            <w:r w:rsidR="00C632C0">
              <w:tab/>
            </w:r>
            <w:r w:rsidR="00C632C0">
              <w:fldChar w:fldCharType="begin"/>
            </w:r>
            <w:r w:rsidR="00C632C0">
              <w:instrText>PAGEREF _Toc1906334026 \h</w:instrText>
            </w:r>
            <w:r w:rsidR="00C632C0">
              <w:fldChar w:fldCharType="separate"/>
            </w:r>
            <w:r w:rsidRPr="0A478607">
              <w:rPr>
                <w:rStyle w:val="Hyperlink"/>
              </w:rPr>
              <w:t>10</w:t>
            </w:r>
            <w:r w:rsidR="00C632C0">
              <w:fldChar w:fldCharType="end"/>
            </w:r>
          </w:hyperlink>
        </w:p>
        <w:p w:rsidR="00AC6725" w:rsidP="0A478607" w:rsidRDefault="0A478607" w14:paraId="675F1481" w14:textId="755C2035">
          <w:pPr>
            <w:pStyle w:val="Verzeichnis1"/>
            <w:tabs>
              <w:tab w:val="left" w:pos="480"/>
              <w:tab w:val="right" w:leader="dot" w:pos="9285"/>
            </w:tabs>
            <w:rPr>
              <w:rStyle w:val="Hyperlink"/>
              <w:noProof/>
              <w:kern w:val="2"/>
              <w:lang w:eastAsia="en-GB"/>
              <w14:ligatures w14:val="standardContextual"/>
            </w:rPr>
          </w:pPr>
          <w:hyperlink w:anchor="_Toc579083683">
            <w:r w:rsidRPr="0A478607">
              <w:rPr>
                <w:rStyle w:val="Hyperlink"/>
              </w:rPr>
              <w:t>8.</w:t>
            </w:r>
            <w:r w:rsidR="00C632C0">
              <w:tab/>
            </w:r>
            <w:r w:rsidRPr="0A478607">
              <w:rPr>
                <w:rStyle w:val="Hyperlink"/>
              </w:rPr>
              <w:t>RTE</w:t>
            </w:r>
            <w:r w:rsidR="00C632C0">
              <w:tab/>
            </w:r>
            <w:r w:rsidR="00C632C0">
              <w:fldChar w:fldCharType="begin"/>
            </w:r>
            <w:r w:rsidR="00C632C0">
              <w:instrText>PAGEREF _Toc579083683 \h</w:instrText>
            </w:r>
            <w:r w:rsidR="00C632C0">
              <w:fldChar w:fldCharType="separate"/>
            </w:r>
            <w:r w:rsidRPr="0A478607">
              <w:rPr>
                <w:rStyle w:val="Hyperlink"/>
              </w:rPr>
              <w:t>11</w:t>
            </w:r>
            <w:r w:rsidR="00C632C0">
              <w:fldChar w:fldCharType="end"/>
            </w:r>
          </w:hyperlink>
        </w:p>
        <w:p w:rsidR="00AC6725" w:rsidP="0A478607" w:rsidRDefault="0A478607" w14:paraId="45A28210" w14:textId="22ABA939">
          <w:pPr>
            <w:pStyle w:val="Verzeichnis1"/>
            <w:tabs>
              <w:tab w:val="left" w:pos="480"/>
              <w:tab w:val="right" w:leader="dot" w:pos="9285"/>
            </w:tabs>
            <w:rPr>
              <w:rStyle w:val="Hyperlink"/>
              <w:noProof/>
              <w:kern w:val="2"/>
              <w:lang w:eastAsia="en-GB"/>
              <w14:ligatures w14:val="standardContextual"/>
            </w:rPr>
          </w:pPr>
          <w:hyperlink w:anchor="_Toc1500475684">
            <w:r w:rsidRPr="0A478607">
              <w:rPr>
                <w:rStyle w:val="Hyperlink"/>
              </w:rPr>
              <w:t>9.</w:t>
            </w:r>
            <w:r w:rsidR="00C632C0">
              <w:tab/>
            </w:r>
            <w:r w:rsidRPr="0A478607">
              <w:rPr>
                <w:rStyle w:val="Hyperlink"/>
              </w:rPr>
              <w:t>SEPS</w:t>
            </w:r>
            <w:r w:rsidR="00C632C0">
              <w:tab/>
            </w:r>
            <w:r w:rsidR="00C632C0">
              <w:fldChar w:fldCharType="begin"/>
            </w:r>
            <w:r w:rsidR="00C632C0">
              <w:instrText>PAGEREF _Toc1500475684 \h</w:instrText>
            </w:r>
            <w:r w:rsidR="00C632C0">
              <w:fldChar w:fldCharType="separate"/>
            </w:r>
            <w:r w:rsidRPr="0A478607">
              <w:rPr>
                <w:rStyle w:val="Hyperlink"/>
              </w:rPr>
              <w:t>11</w:t>
            </w:r>
            <w:r w:rsidR="00C632C0">
              <w:fldChar w:fldCharType="end"/>
            </w:r>
          </w:hyperlink>
        </w:p>
        <w:p w:rsidR="00AC6725" w:rsidP="0A478607" w:rsidRDefault="0A478607" w14:paraId="06647A8E" w14:textId="06D51512">
          <w:pPr>
            <w:pStyle w:val="Verzeichnis1"/>
            <w:tabs>
              <w:tab w:val="left" w:pos="480"/>
              <w:tab w:val="right" w:leader="dot" w:pos="9285"/>
            </w:tabs>
            <w:rPr>
              <w:rStyle w:val="Hyperlink"/>
              <w:noProof/>
              <w:kern w:val="2"/>
              <w:lang w:eastAsia="en-GB"/>
              <w14:ligatures w14:val="standardContextual"/>
            </w:rPr>
          </w:pPr>
          <w:hyperlink w:anchor="_Toc1615223071">
            <w:r w:rsidRPr="0A478607">
              <w:rPr>
                <w:rStyle w:val="Hyperlink"/>
              </w:rPr>
              <w:t>10.</w:t>
            </w:r>
            <w:r w:rsidR="00C632C0">
              <w:tab/>
            </w:r>
            <w:r w:rsidRPr="0A478607">
              <w:rPr>
                <w:rStyle w:val="Hyperlink"/>
              </w:rPr>
              <w:t>Transelectrica</w:t>
            </w:r>
            <w:r w:rsidR="00C632C0">
              <w:tab/>
            </w:r>
            <w:r w:rsidR="00C632C0">
              <w:fldChar w:fldCharType="begin"/>
            </w:r>
            <w:r w:rsidR="00C632C0">
              <w:instrText>PAGEREF _Toc1615223071 \h</w:instrText>
            </w:r>
            <w:r w:rsidR="00C632C0">
              <w:fldChar w:fldCharType="separate"/>
            </w:r>
            <w:r w:rsidRPr="0A478607">
              <w:rPr>
                <w:rStyle w:val="Hyperlink"/>
              </w:rPr>
              <w:t>13</w:t>
            </w:r>
            <w:r w:rsidR="00C632C0">
              <w:fldChar w:fldCharType="end"/>
            </w:r>
          </w:hyperlink>
          <w:r w:rsidR="00C632C0">
            <w:fldChar w:fldCharType="end"/>
          </w:r>
        </w:p>
      </w:sdtContent>
    </w:sdt>
    <w:p w:rsidR="00D46052" w:rsidRDefault="00D46052" w14:paraId="01D00901" w14:textId="57BE4BC9"/>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A93567" w:rsidP="00F200C2" w:rsidRDefault="0A478607" w14:paraId="3F22231E" w14:textId="3EBFC70B">
      <w:pPr>
        <w:pStyle w:val="berschrift1"/>
        <w:numPr>
          <w:ilvl w:val="0"/>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Start w:name="_Toc452422773" w:id="19"/>
      <w:bookmarkEnd w:id="7"/>
      <w:bookmarkEnd w:id="8"/>
      <w:bookmarkEnd w:id="9"/>
      <w:bookmarkEnd w:id="10"/>
      <w:bookmarkEnd w:id="11"/>
      <w:bookmarkEnd w:id="12"/>
      <w:r>
        <w:lastRenderedPageBreak/>
        <w:t>Introduction</w:t>
      </w:r>
      <w:bookmarkStart w:name="_Toc470688454" w:id="20"/>
      <w:bookmarkStart w:name="_Toc470689108" w:id="21"/>
      <w:bookmarkEnd w:id="13"/>
      <w:bookmarkEnd w:id="14"/>
      <w:bookmarkEnd w:id="15"/>
      <w:bookmarkEnd w:id="16"/>
      <w:bookmarkEnd w:id="17"/>
      <w:bookmarkEnd w:id="18"/>
      <w:bookmarkEnd w:id="19"/>
      <w:bookmarkEnd w:id="20"/>
      <w:bookmarkEnd w:id="21"/>
    </w:p>
    <w:p w:rsidR="00A93567" w:rsidP="004E2B1F" w:rsidRDefault="00126055" w14:paraId="6610B87E" w14:textId="431CBCFE">
      <w:pPr>
        <w:rPr>
          <w:lang w:val="en-GB"/>
        </w:rPr>
      </w:pPr>
      <w:r>
        <w:rPr>
          <w:lang w:val="en-GB"/>
        </w:rPr>
        <w:t>According to Articles 20(14)(b) and 20(15)</w:t>
      </w:r>
      <w:r w:rsidR="00F200C2">
        <w:rPr>
          <w:lang w:val="en-GB"/>
        </w:rPr>
        <w:t xml:space="preserve"> of the DA CCM</w:t>
      </w:r>
      <w:r>
        <w:rPr>
          <w:lang w:val="en-GB"/>
        </w:rPr>
        <w:t xml:space="preserve">, Core TSOs have the obligation to provide general measures and/or action plans </w:t>
      </w:r>
      <w:proofErr w:type="gramStart"/>
      <w:r>
        <w:rPr>
          <w:lang w:val="en-GB"/>
        </w:rPr>
        <w:t>in order to</w:t>
      </w:r>
      <w:proofErr w:type="gramEnd"/>
      <w:r>
        <w:rPr>
          <w:lang w:val="en-GB"/>
        </w:rPr>
        <w:t xml:space="preserve"> avoid cross-zonal capacity reductions in the future</w:t>
      </w:r>
      <w:r w:rsidR="00006F03">
        <w:rPr>
          <w:lang w:val="en-GB"/>
        </w:rPr>
        <w:t>, as follows:</w:t>
      </w:r>
    </w:p>
    <w:p w:rsidR="00006F03" w:rsidP="00E313E3" w:rsidRDefault="00006F03" w14:paraId="5DD186E5" w14:textId="190E1837">
      <w:pPr>
        <w:pStyle w:val="Listenabsatz"/>
        <w:numPr>
          <w:ilvl w:val="0"/>
          <w:numId w:val="19"/>
        </w:numPr>
      </w:pPr>
      <w:r>
        <w:t xml:space="preserve">As per Article 20(14)(b): </w:t>
      </w:r>
      <w:r>
        <w:rPr>
          <w:i/>
          <w:iCs/>
        </w:rPr>
        <w:t>General measures to avoid cross-zonal capacity reductions in the future</w:t>
      </w:r>
    </w:p>
    <w:p w:rsidR="00006F03" w:rsidP="00E313E3" w:rsidRDefault="00006F03" w14:paraId="4CC3A5EF" w14:textId="26F5B698">
      <w:pPr>
        <w:pStyle w:val="Listenabsatz"/>
        <w:numPr>
          <w:ilvl w:val="0"/>
          <w:numId w:val="19"/>
        </w:numPr>
      </w:pPr>
      <w:r>
        <w:t xml:space="preserve">As per Article 20(15): </w:t>
      </w:r>
      <w:r>
        <w:rPr>
          <w:i/>
          <w:iCs/>
        </w:rPr>
        <w:t>When a given Core TSO reduces capacity for its CNECs in more than 1% of DA CC MTUs of the analysed quarter, the concerned TSO shall provide to the CCC a detailed report and action plan describing how such deviations are expected to be alleviated and solved in the future.</w:t>
      </w:r>
    </w:p>
    <w:p w:rsidR="00006F03" w:rsidP="00006F03" w:rsidRDefault="00006F03" w14:paraId="3B6A9FD0" w14:textId="71EC5899"/>
    <w:p w:rsidRPr="00006F03" w:rsidR="00006F03" w:rsidP="00006F03" w:rsidRDefault="00006F03" w14:paraId="130FCA24" w14:textId="309E77D8">
      <w:r>
        <w:t>This annex contains the required information described above for each Core TSO that has applied capacity reductions for at least 1 DA CC MTU of the analysed quarter.</w:t>
      </w:r>
    </w:p>
    <w:p w:rsidR="00A93567" w:rsidP="004E2B1F" w:rsidRDefault="00A93567" w14:paraId="49121673" w14:textId="77777777">
      <w:pPr>
        <w:rPr>
          <w:lang w:val="en-GB"/>
        </w:rPr>
      </w:pPr>
    </w:p>
    <w:p w:rsidR="00A93567" w:rsidP="004E2B1F" w:rsidRDefault="00A93567" w14:paraId="0EE96E5A" w14:textId="77777777">
      <w:pPr>
        <w:rPr>
          <w:lang w:val="en-GB"/>
        </w:rPr>
      </w:pPr>
    </w:p>
    <w:p w:rsidR="00A93567" w:rsidP="004E2B1F" w:rsidRDefault="00A93567" w14:paraId="0A3F0686" w14:textId="77777777">
      <w:pPr>
        <w:rPr>
          <w:lang w:val="en-GB"/>
        </w:rPr>
      </w:pPr>
    </w:p>
    <w:p w:rsidR="00A93567" w:rsidP="004E2B1F" w:rsidRDefault="00A93567" w14:paraId="623E9B10" w14:textId="77777777">
      <w:pPr>
        <w:rPr>
          <w:lang w:val="en-GB"/>
        </w:rPr>
      </w:pPr>
    </w:p>
    <w:p w:rsidR="00A93567" w:rsidP="004E2B1F" w:rsidRDefault="00A93567" w14:paraId="3424A864" w14:textId="77777777">
      <w:pPr>
        <w:rPr>
          <w:lang w:val="en-GB"/>
        </w:rPr>
      </w:pPr>
    </w:p>
    <w:p w:rsidR="00A93567" w:rsidP="004E2B1F" w:rsidRDefault="00A93567" w14:paraId="3FFFC6BE" w14:textId="77777777">
      <w:pPr>
        <w:rPr>
          <w:lang w:val="en-GB"/>
        </w:rPr>
      </w:pPr>
    </w:p>
    <w:bookmarkEnd w:id="6"/>
    <w:p w:rsidRPr="00C839CA" w:rsidR="00A93567" w:rsidP="00A806C0" w:rsidRDefault="00A93567" w14:paraId="5673CD4D" w14:textId="6B80F5B2">
      <w:pPr>
        <w:rPr>
          <w:lang w:val="en-GB" w:eastAsia="nl-NL"/>
        </w:rPr>
      </w:pPr>
    </w:p>
    <w:p w:rsidRPr="006B277F" w:rsidR="006B277F" w:rsidP="00F52B86" w:rsidRDefault="006B277F" w14:paraId="6316F114" w14:textId="17C083FB">
      <w:pPr>
        <w:pStyle w:val="berschrift1"/>
        <w:numPr>
          <w:ilvl w:val="0"/>
          <w:numId w:val="0"/>
        </w:numPr>
      </w:pPr>
    </w:p>
    <w:p w:rsidR="00E305B5" w:rsidP="4A15EC48" w:rsidRDefault="00F52B86" w14:paraId="39216C20" w14:textId="442CFCF5">
      <w:pPr>
        <w:pStyle w:val="berschrift1"/>
        <w:numPr>
          <w:ilvl w:val="0"/>
          <w:numId w:val="0"/>
        </w:numPr>
      </w:pPr>
      <w:r>
        <w:br w:type="column"/>
      </w:r>
      <w:bookmarkStart w:name="_Toc73696900" w:id="22"/>
    </w:p>
    <w:p w:rsidRPr="00B74194" w:rsidR="00CE7987" w:rsidP="00B74194" w:rsidRDefault="4EAD52B4" w14:paraId="1A20CF1B" w14:textId="3D431100">
      <w:pPr>
        <w:pStyle w:val="berschrift1"/>
      </w:pPr>
      <w:bookmarkStart w:name="_Toc1031562619" w:id="23"/>
      <w:bookmarkStart w:name="_Toc73696910" w:id="24"/>
      <w:bookmarkEnd w:id="22"/>
      <w:r>
        <w:t>CEPS</w:t>
      </w:r>
      <w:bookmarkEnd w:id="23"/>
    </w:p>
    <w:bookmarkEnd w:id="24"/>
    <w:p w:rsidR="03D1E99D" w:rsidP="4EAD52B4" w:rsidRDefault="4EAD52B4" w14:paraId="5CF9F2BE" w14:textId="7D942EB1">
      <w:r w:rsidRPr="4EAD52B4">
        <w:rPr>
          <w:rFonts w:eastAsia="Arial" w:cs="Arial"/>
          <w:b/>
          <w:bCs/>
          <w:color w:val="000000" w:themeColor="text1"/>
        </w:rPr>
        <w:t>1.1 General measures to avoid cross-zonal capacity reductions in the future, as per Art. 20(14)(b) of DA CCM</w:t>
      </w:r>
    </w:p>
    <w:p w:rsidR="03D1E99D" w:rsidP="4EAD52B4" w:rsidRDefault="4EAD52B4" w14:paraId="1C7F8A44" w14:textId="1E8CC0B2">
      <w:r w:rsidRPr="4EAD52B4">
        <w:rPr>
          <w:rFonts w:eastAsia="Arial" w:cs="Arial"/>
          <w:color w:val="000000" w:themeColor="text1"/>
          <w:lang w:val="en-GB"/>
        </w:rPr>
        <w:t xml:space="preserve"> </w:t>
      </w:r>
    </w:p>
    <w:p w:rsidR="03D1E99D" w:rsidP="4EAD52B4" w:rsidRDefault="4EAD52B4" w14:paraId="42DB6C47" w14:textId="4514FE36">
      <w:r w:rsidRPr="4EAD52B4">
        <w:rPr>
          <w:rFonts w:eastAsia="Arial" w:cs="Arial"/>
          <w:color w:val="000000" w:themeColor="text1"/>
          <w:lang w:val="en-GB"/>
        </w:rPr>
        <w:t>ČEPS has implemented the following measures to avoid cross-zonal capacity reduction. Firstly, in its individual validation, only technically feasible scenarios (set of Core NPs) are tested. These scenarios reflect know-how about max/min generation capabilities of BZs, and popular flow directions. As a result, the tested MCP (NPs vector) is not only an extreme utilization of the domain (vertex) but also a realistic grid situation. This leads to highly efficient IVA applications. Secondly, a wide variety of remedial actions are considered in the ČEPS optimization algorithm. This helps ČEPS to efficiently eliminate majority of the operational security threats without cross-zonal capacity reduction. Finally, by applying IVA directly for the over-congested element, the minimal value of IVA required is guaranteed.</w:t>
      </w:r>
    </w:p>
    <w:p w:rsidR="03D1E99D" w:rsidP="4EAD52B4" w:rsidRDefault="4EAD52B4" w14:paraId="1450B92F" w14:textId="3DB8F4CF">
      <w:r w:rsidRPr="4EAD52B4">
        <w:rPr>
          <w:rFonts w:eastAsia="Arial" w:cs="Arial"/>
          <w:color w:val="000000" w:themeColor="text1"/>
          <w:lang w:val="en-GB"/>
        </w:rPr>
        <w:t xml:space="preserve"> </w:t>
      </w:r>
    </w:p>
    <w:p w:rsidR="03D1E99D" w:rsidP="4EAD52B4" w:rsidRDefault="4EAD52B4" w14:paraId="3F0425FF" w14:textId="538749BD">
      <w:r w:rsidRPr="4EAD52B4">
        <w:rPr>
          <w:rFonts w:eastAsia="Arial" w:cs="Arial"/>
          <w:b/>
          <w:bCs/>
          <w:color w:val="000000" w:themeColor="text1"/>
        </w:rPr>
        <w:t>1.2 Detailed report and action plan describing how such deviations are expected to be alleviated and solved in the future</w:t>
      </w:r>
    </w:p>
    <w:p w:rsidR="03D1E99D" w:rsidP="4EAD52B4" w:rsidRDefault="4EAD52B4" w14:paraId="6B80C705" w14:textId="21953A79">
      <w:r w:rsidRPr="4EAD52B4">
        <w:rPr>
          <w:rFonts w:eastAsia="Arial" w:cs="Arial"/>
          <w:color w:val="000000" w:themeColor="text1"/>
          <w:lang w:val="en-GB"/>
        </w:rPr>
        <w:t xml:space="preserve"> </w:t>
      </w:r>
    </w:p>
    <w:p w:rsidR="03D1E99D" w:rsidP="4EAD52B4" w:rsidRDefault="4EAD52B4" w14:paraId="35D6D0C7" w14:textId="6730FD2C">
      <w:r w:rsidRPr="4EAD52B4">
        <w:rPr>
          <w:rFonts w:eastAsia="Arial" w:cs="Arial"/>
          <w:color w:val="000000" w:themeColor="text1"/>
        </w:rPr>
        <w:t>ČEPS reduced capacity for its CNECs in less than 1 % of DA CC MTUs of the analysed quarter, detailed report and action plan are not provided hence.</w:t>
      </w:r>
    </w:p>
    <w:p w:rsidR="03D1E99D" w:rsidP="4EAD52B4" w:rsidRDefault="03D1E99D" w14:paraId="3DC668FD" w14:textId="311944BC">
      <w:pPr>
        <w:spacing w:after="200" w:line="276" w:lineRule="auto"/>
        <w:jc w:val="left"/>
        <w:rPr>
          <w:rFonts w:cs="Arial"/>
          <w:caps/>
          <w:color w:val="7F7F7F" w:themeColor="text1" w:themeTint="80"/>
          <w:sz w:val="28"/>
          <w:szCs w:val="28"/>
          <w:lang w:val="en-GB" w:eastAsia="nl-NL"/>
        </w:rPr>
      </w:pPr>
    </w:p>
    <w:p w:rsidR="00E313E3" w:rsidP="03D1E99D" w:rsidRDefault="00E313E3" w14:paraId="0D8124DD" w14:textId="77777777">
      <w:pPr>
        <w:spacing w:after="200" w:line="276" w:lineRule="auto"/>
        <w:jc w:val="left"/>
        <w:rPr>
          <w:rFonts w:cs="Arial"/>
          <w:caps/>
          <w:color w:val="7F7F7F" w:themeColor="text1" w:themeTint="80"/>
          <w:sz w:val="28"/>
          <w:szCs w:val="28"/>
          <w:lang w:val="en-GB" w:eastAsia="nl-NL"/>
        </w:rPr>
      </w:pPr>
    </w:p>
    <w:p w:rsidRPr="00B74194" w:rsidR="03D1E99D" w:rsidP="00B74194" w:rsidRDefault="3664FA8C" w14:paraId="4031EC0E" w14:textId="23CCAF8E">
      <w:pPr>
        <w:pStyle w:val="berschrift1"/>
      </w:pPr>
      <w:bookmarkStart w:name="_Toc962761897" w:id="25"/>
      <w:r>
        <w:t>DAVinCy TSOs</w:t>
      </w:r>
      <w:bookmarkEnd w:id="25"/>
    </w:p>
    <w:p w:rsidR="03D1E99D" w:rsidP="3664FA8C" w:rsidRDefault="3664FA8C" w14:paraId="52099875" w14:textId="4B14D245">
      <w:pPr>
        <w:rPr>
          <w:rFonts w:eastAsia="Arial" w:cs="Arial"/>
          <w:color w:val="000000" w:themeColor="text1"/>
        </w:rPr>
      </w:pPr>
      <w:proofErr w:type="gramStart"/>
      <w:r w:rsidRPr="3664FA8C">
        <w:rPr>
          <w:rFonts w:eastAsia="Arial" w:cs="Arial"/>
          <w:color w:val="000000" w:themeColor="text1"/>
          <w:lang w:val="en-GB"/>
        </w:rPr>
        <w:t>In order to</w:t>
      </w:r>
      <w:proofErr w:type="gramEnd"/>
      <w:r w:rsidRPr="3664FA8C">
        <w:rPr>
          <w:rFonts w:eastAsia="Arial" w:cs="Arial"/>
          <w:color w:val="000000" w:themeColor="text1"/>
          <w:lang w:val="en-GB"/>
        </w:rPr>
        <w:t xml:space="preserve"> provide a better understanding of the results and the processes applied among DAVinCy TSOs, following are some introductory explanations:</w:t>
      </w:r>
    </w:p>
    <w:p w:rsidR="03D1E99D" w:rsidP="3664FA8C" w:rsidRDefault="3664FA8C" w14:paraId="40850606" w14:textId="733C4738">
      <w:pPr>
        <w:pStyle w:val="Listenabsatz"/>
        <w:rPr>
          <w:rFonts w:eastAsia="Arial"/>
          <w:bCs w:val="0"/>
          <w:color w:val="000000" w:themeColor="text1"/>
          <w:szCs w:val="20"/>
          <w:lang w:val="en-IE"/>
        </w:rPr>
      </w:pPr>
      <w:r w:rsidRPr="3664FA8C">
        <w:rPr>
          <w:rFonts w:eastAsia="Arial"/>
          <w:bCs w:val="0"/>
          <w:color w:val="000000" w:themeColor="text1"/>
          <w:szCs w:val="20"/>
          <w:lang w:val="en-US"/>
        </w:rPr>
        <w:t xml:space="preserve">APG, </w:t>
      </w:r>
      <w:proofErr w:type="spellStart"/>
      <w:r w:rsidRPr="3664FA8C">
        <w:rPr>
          <w:rFonts w:eastAsia="Arial"/>
          <w:bCs w:val="0"/>
          <w:color w:val="000000" w:themeColor="text1"/>
          <w:szCs w:val="20"/>
          <w:lang w:val="en-US"/>
        </w:rPr>
        <w:t>Tennet</w:t>
      </w:r>
      <w:proofErr w:type="spellEnd"/>
      <w:r w:rsidRPr="3664FA8C">
        <w:rPr>
          <w:rFonts w:eastAsia="Arial"/>
          <w:bCs w:val="0"/>
          <w:color w:val="000000" w:themeColor="text1"/>
          <w:szCs w:val="20"/>
          <w:lang w:val="en-US"/>
        </w:rPr>
        <w:t xml:space="preserve"> NL and the German TSOs (DAVinCy TSOs) use a common tool for individual validation called DAVinCy (Day Ahead Validation of Capacity). In case an overload cannot be solved with the available remedial actions, DAVinCy determines the necessary Individual Validation Adjustments (IVAs) on relevant CNECs with the objective to </w:t>
      </w:r>
      <w:proofErr w:type="spellStart"/>
      <w:r w:rsidRPr="3664FA8C">
        <w:rPr>
          <w:rFonts w:eastAsia="Arial"/>
          <w:bCs w:val="0"/>
          <w:color w:val="000000" w:themeColor="text1"/>
          <w:szCs w:val="20"/>
          <w:lang w:val="en-US"/>
        </w:rPr>
        <w:t>minimise</w:t>
      </w:r>
      <w:proofErr w:type="spellEnd"/>
      <w:r w:rsidRPr="3664FA8C">
        <w:rPr>
          <w:rFonts w:eastAsia="Arial"/>
          <w:bCs w:val="0"/>
          <w:color w:val="000000" w:themeColor="text1"/>
          <w:szCs w:val="20"/>
          <w:lang w:val="en-US"/>
        </w:rPr>
        <w:t xml:space="preserve"> the overall capacity reduction among the six DAVinCy TSOs. This can lead to situations where an overload occurs in one control area of TSO A whereas the IVA(s) is/are applied within other control areas, e.g., of TSOs B and C. </w:t>
      </w:r>
    </w:p>
    <w:p w:rsidR="03D1E99D" w:rsidP="3664FA8C" w:rsidRDefault="3664FA8C" w14:paraId="19449206" w14:textId="47FD4F1E">
      <w:pPr>
        <w:pStyle w:val="Listenabsatz"/>
        <w:rPr>
          <w:rFonts w:eastAsia="Arial"/>
          <w:bCs w:val="0"/>
          <w:color w:val="000000" w:themeColor="text1"/>
          <w:szCs w:val="20"/>
          <w:lang w:val="en-IE"/>
        </w:rPr>
      </w:pPr>
      <w:r w:rsidRPr="3664FA8C">
        <w:rPr>
          <w:rFonts w:eastAsia="Arial"/>
          <w:bCs w:val="0"/>
          <w:color w:val="000000" w:themeColor="text1"/>
          <w:szCs w:val="20"/>
          <w:lang w:val="en-US"/>
        </w:rPr>
        <w:t xml:space="preserve">The application of an IVA prevents a network element from being overloaded and does not necessarily lead to a deviation from the minimum cross-zonal capacity according to Article 16(8) of regulation (EU) 2019/943 on the internal market of electricity. </w:t>
      </w:r>
    </w:p>
    <w:p w:rsidR="03D1E99D" w:rsidP="3664FA8C" w:rsidRDefault="3664FA8C" w14:paraId="580DAE18" w14:textId="022E5D8B">
      <w:pPr>
        <w:rPr>
          <w:rFonts w:eastAsia="Arial" w:cs="Arial"/>
          <w:color w:val="000000" w:themeColor="text1"/>
        </w:rPr>
      </w:pPr>
      <w:r w:rsidRPr="3664FA8C">
        <w:rPr>
          <w:rFonts w:eastAsia="Arial" w:cs="Arial"/>
          <w:color w:val="000000" w:themeColor="text1"/>
          <w:lang w:val="en-GB"/>
        </w:rPr>
        <w:t xml:space="preserve">In the opinion of the DAVinCy TSOs, the cooperation of six TSOs within the DAVinCy consortium leads to a very effective result when relieving potential overloads within the grid </w:t>
      </w:r>
      <w:proofErr w:type="gramStart"/>
      <w:r w:rsidRPr="3664FA8C">
        <w:rPr>
          <w:rFonts w:eastAsia="Arial" w:cs="Arial"/>
          <w:color w:val="000000" w:themeColor="text1"/>
          <w:lang w:val="en-GB"/>
        </w:rPr>
        <w:t>in order to</w:t>
      </w:r>
      <w:proofErr w:type="gramEnd"/>
      <w:r w:rsidRPr="3664FA8C">
        <w:rPr>
          <w:rFonts w:eastAsia="Arial" w:cs="Arial"/>
          <w:color w:val="000000" w:themeColor="text1"/>
          <w:lang w:val="en-GB"/>
        </w:rPr>
        <w:t xml:space="preserve"> secure operational security. This is caused by the fact that remedial actions within six control areas can be used. Moreover, IVAs having a minimal impact on cross-zonal capacities offered to the market can be applied to solve congestions. Furthermore, the DAVinCy TSOs acknowledge, that this report </w:t>
      </w:r>
      <w:proofErr w:type="gramStart"/>
      <w:r w:rsidRPr="3664FA8C">
        <w:rPr>
          <w:rFonts w:eastAsia="Arial" w:cs="Arial"/>
          <w:color w:val="000000" w:themeColor="text1"/>
          <w:lang w:val="en-GB"/>
        </w:rPr>
        <w:t>has to</w:t>
      </w:r>
      <w:proofErr w:type="gramEnd"/>
      <w:r w:rsidRPr="3664FA8C">
        <w:rPr>
          <w:rFonts w:eastAsia="Arial" w:cs="Arial"/>
          <w:color w:val="000000" w:themeColor="text1"/>
          <w:lang w:val="en-GB"/>
        </w:rPr>
        <w:t xml:space="preserve"> be based on the amount of capacity reductions, i.e. IVAs applied by DAVinCy. Nevertheless, it should be noted, that </w:t>
      </w:r>
      <w:r w:rsidRPr="3664FA8C">
        <w:rPr>
          <w:rFonts w:eastAsia="Arial" w:cs="Arial"/>
          <w:color w:val="000000" w:themeColor="text1"/>
          <w:lang w:val="en-GB"/>
        </w:rPr>
        <w:lastRenderedPageBreak/>
        <w:t xml:space="preserve">measures to reduce the application of IVAs need to address the cause of IVAs, respectively the reduction of congestions and fallbacks.  </w:t>
      </w:r>
    </w:p>
    <w:p w:rsidR="03D1E99D" w:rsidP="3664FA8C" w:rsidRDefault="3664FA8C" w14:paraId="48F1F368" w14:textId="1EEAAC01">
      <w:pPr>
        <w:spacing w:after="200"/>
        <w:rPr>
          <w:rFonts w:eastAsia="Arial" w:cs="Arial"/>
          <w:color w:val="000000" w:themeColor="text1"/>
        </w:rPr>
      </w:pPr>
      <w:r w:rsidRPr="3664FA8C">
        <w:rPr>
          <w:rFonts w:eastAsia="Arial" w:cs="Arial"/>
          <w:color w:val="000000" w:themeColor="text1"/>
        </w:rPr>
        <w:t xml:space="preserve">The DAVinCy TSOs plan to apply the following measures </w:t>
      </w:r>
      <w:proofErr w:type="gramStart"/>
      <w:r w:rsidRPr="3664FA8C">
        <w:rPr>
          <w:rFonts w:eastAsia="Arial" w:cs="Arial"/>
          <w:color w:val="000000" w:themeColor="text1"/>
        </w:rPr>
        <w:t>in order to</w:t>
      </w:r>
      <w:proofErr w:type="gramEnd"/>
      <w:r w:rsidRPr="3664FA8C">
        <w:rPr>
          <w:rFonts w:eastAsia="Arial" w:cs="Arial"/>
          <w:color w:val="000000" w:themeColor="text1"/>
        </w:rPr>
        <w:t xml:space="preserve"> minimize the application of IVAs and, as required by Article 20(14)(b) and Article 20(15) DA CCM, avoid cross-zonal capacity reductions in the future:</w:t>
      </w:r>
    </w:p>
    <w:p w:rsidR="03D1E99D" w:rsidP="3664FA8C" w:rsidRDefault="3664FA8C" w14:paraId="7C3E66B8" w14:textId="0A50716F">
      <w:pPr>
        <w:pStyle w:val="Listenabsatz"/>
        <w:rPr>
          <w:rFonts w:eastAsia="Arial"/>
          <w:bCs w:val="0"/>
          <w:color w:val="000000" w:themeColor="text1"/>
          <w:szCs w:val="20"/>
          <w:lang w:val="en-IE"/>
        </w:rPr>
      </w:pPr>
      <w:r w:rsidRPr="3664FA8C">
        <w:rPr>
          <w:rFonts w:eastAsia="Arial"/>
          <w:bCs w:val="0"/>
          <w:color w:val="000000" w:themeColor="text1"/>
          <w:szCs w:val="20"/>
          <w:lang w:val="en-US"/>
        </w:rPr>
        <w:t xml:space="preserve">Further improvement of process robustness </w:t>
      </w:r>
      <w:proofErr w:type="gramStart"/>
      <w:r w:rsidRPr="3664FA8C">
        <w:rPr>
          <w:rFonts w:eastAsia="Arial"/>
          <w:bCs w:val="0"/>
          <w:color w:val="000000" w:themeColor="text1"/>
          <w:szCs w:val="20"/>
          <w:lang w:val="en-US"/>
        </w:rPr>
        <w:t>through the use of</w:t>
      </w:r>
      <w:proofErr w:type="gramEnd"/>
      <w:r w:rsidRPr="3664FA8C">
        <w:rPr>
          <w:rFonts w:eastAsia="Arial"/>
          <w:bCs w:val="0"/>
          <w:color w:val="000000" w:themeColor="text1"/>
          <w:szCs w:val="20"/>
          <w:lang w:val="en-US"/>
        </w:rPr>
        <w:t xml:space="preserve"> redundant IT systems, plausibility checks and replacement strategies for input data, separate systems for test and productive environment and implementation of security management.</w:t>
      </w:r>
    </w:p>
    <w:p w:rsidR="03D1E99D" w:rsidP="3664FA8C" w:rsidRDefault="3664FA8C" w14:paraId="2E0D852A" w14:textId="20018815">
      <w:pPr>
        <w:pStyle w:val="Listenabsatz"/>
        <w:rPr>
          <w:rFonts w:eastAsia="Arial"/>
          <w:bCs w:val="0"/>
          <w:color w:val="000000" w:themeColor="text1"/>
          <w:szCs w:val="20"/>
          <w:lang w:val="en-IE"/>
        </w:rPr>
      </w:pPr>
      <w:r w:rsidRPr="3664FA8C">
        <w:rPr>
          <w:rFonts w:eastAsia="Arial"/>
          <w:bCs w:val="0"/>
          <w:color w:val="000000" w:themeColor="text1"/>
          <w:szCs w:val="20"/>
          <w:lang w:val="en-US"/>
        </w:rPr>
        <w:t>Improvement of automated topology optimization</w:t>
      </w:r>
    </w:p>
    <w:p w:rsidR="03D1E99D" w:rsidP="00B74194" w:rsidRDefault="0A478607" w14:paraId="6DBFCF43" w14:textId="47C9773C" w14:noSpellErr="1">
      <w:pPr>
        <w:pStyle w:val="berschrift2"/>
        <w:rPr/>
      </w:pPr>
      <w:bookmarkStart w:name="_Toc181642099" w:id="26"/>
      <w:r w:rsidR="3DD7734B">
        <w:rPr/>
        <w:t>APG</w:t>
      </w:r>
      <w:bookmarkEnd w:id="26"/>
    </w:p>
    <w:p w:rsidR="03D1E99D" w:rsidP="3DD7734B" w:rsidRDefault="03D1E99D" w14:paraId="4842D2B3" w14:textId="781186F8">
      <w:pPr>
        <w:spacing w:before="0" w:beforeAutospacing="off" w:after="0" w:afterAutospacing="off" w:line="312" w:lineRule="auto"/>
        <w:jc w:val="both"/>
      </w:pPr>
      <w:r w:rsidRPr="3DD7734B" w:rsidR="3DD7734B">
        <w:rPr>
          <w:rFonts w:ascii="Arial" w:hAnsi="Arial" w:eastAsia="Arial" w:cs="Arial"/>
          <w:noProof w:val="0"/>
          <w:sz w:val="20"/>
          <w:szCs w:val="20"/>
          <w:lang w:val="en-GB"/>
        </w:rPr>
        <w:t xml:space="preserve">The application of an IVA prevents a network element from being overloaded and does not necessarily lead to a deviation from the minimum cross-zonal capacity according to Article 16(8) of regulation (EU) 2019/943 on the internal market of electricity. Deviations from the minimum cross-zonal capacity according to the Austrian action plan, will be reported and reflected accordingly in the Austrian action plan report submitted to the Austrian NRA E-Control.  </w:t>
      </w:r>
    </w:p>
    <w:p w:rsidR="03D1E99D" w:rsidP="3DD7734B" w:rsidRDefault="03D1E99D" w14:paraId="60825C54" w14:textId="12A9E59B">
      <w:pPr>
        <w:spacing w:before="0" w:beforeAutospacing="off" w:after="0" w:afterAutospacing="off" w:line="312" w:lineRule="auto"/>
        <w:jc w:val="both"/>
      </w:pPr>
      <w:r w:rsidRPr="3DD7734B" w:rsidR="3DD7734B">
        <w:rPr>
          <w:rFonts w:ascii="Arial" w:hAnsi="Arial" w:eastAsia="Arial" w:cs="Arial"/>
          <w:noProof w:val="0"/>
          <w:sz w:val="20"/>
          <w:szCs w:val="20"/>
          <w:lang w:val="en-GB"/>
        </w:rPr>
        <w:t xml:space="preserve"> </w:t>
      </w:r>
    </w:p>
    <w:p w:rsidR="03D1E99D" w:rsidP="3DD7734B" w:rsidRDefault="03D1E99D" w14:paraId="0436507F" w14:textId="594E2601">
      <w:pPr>
        <w:tabs>
          <w:tab w:val="left" w:leader="none" w:pos="708"/>
        </w:tabs>
        <w:spacing w:before="0" w:beforeAutospacing="off" w:after="0" w:afterAutospacing="off" w:line="312" w:lineRule="auto"/>
        <w:jc w:val="both"/>
      </w:pPr>
      <w:r w:rsidRPr="3DD7734B" w:rsidR="3DD7734B">
        <w:rPr>
          <w:rFonts w:ascii="Arial" w:hAnsi="Arial" w:eastAsia="Arial" w:cs="Arial"/>
          <w:noProof w:val="0"/>
          <w:sz w:val="20"/>
          <w:szCs w:val="20"/>
          <w:lang w:val="en-US"/>
        </w:rPr>
        <w:t>In Q4/2024, the following could be observed:</w:t>
      </w:r>
    </w:p>
    <w:p w:rsidR="03D1E99D" w:rsidP="3DD7734B" w:rsidRDefault="03D1E99D" w14:paraId="6252E21B" w14:textId="17363397">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US"/>
        </w:rPr>
      </w:pPr>
      <w:r w:rsidRPr="3DD7734B" w:rsidR="3DD7734B">
        <w:rPr>
          <w:rFonts w:ascii="Arial" w:hAnsi="Arial" w:eastAsia="Arial" w:cs="Arial"/>
          <w:noProof w:val="0"/>
          <w:sz w:val="20"/>
          <w:szCs w:val="20"/>
          <w:lang w:val="en-US"/>
        </w:rPr>
        <w:t>In 15 hours or 0,68% of all MTUs in Q4/2024 an IVA was applied on a network element of APG.</w:t>
      </w:r>
    </w:p>
    <w:p w:rsidR="03D1E99D" w:rsidP="3DD7734B" w:rsidRDefault="03D1E99D" w14:paraId="70CFDF73" w14:textId="760DF878">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3DD7734B" w:rsidR="3DD7734B">
        <w:rPr>
          <w:rFonts w:ascii="Arial" w:hAnsi="Arial" w:eastAsia="Arial" w:cs="Arial"/>
          <w:noProof w:val="0"/>
          <w:sz w:val="20"/>
          <w:szCs w:val="20"/>
          <w:lang w:val="en-GB"/>
        </w:rPr>
        <w:t xml:space="preserve">In 6 of those 15 MTUs (or 0,27% of MTUs in Q4) , IVAs were applied on Austrian CNECs to prevent potential overloads in the Austrian control area. </w:t>
      </w:r>
    </w:p>
    <w:p w:rsidR="03D1E99D" w:rsidP="3DD7734B" w:rsidRDefault="03D1E99D" w14:paraId="32F1BF72" w14:textId="770145FF">
      <w:pPr>
        <w:tabs>
          <w:tab w:val="left" w:leader="none" w:pos="708"/>
        </w:tabs>
        <w:spacing w:before="0" w:beforeAutospacing="off" w:after="0" w:afterAutospacing="off" w:line="312" w:lineRule="auto"/>
        <w:jc w:val="both"/>
      </w:pPr>
      <w:r w:rsidRPr="3DD7734B" w:rsidR="3DD7734B">
        <w:rPr>
          <w:rFonts w:ascii="Arial" w:hAnsi="Arial" w:eastAsia="Arial" w:cs="Arial"/>
          <w:noProof w:val="0"/>
          <w:sz w:val="20"/>
          <w:szCs w:val="20"/>
          <w:lang w:val="en-GB"/>
        </w:rPr>
        <w:t xml:space="preserve"> </w:t>
      </w:r>
    </w:p>
    <w:p w:rsidR="03D1E99D" w:rsidP="3DD7734B" w:rsidRDefault="03D1E99D" w14:paraId="5445CA95" w14:textId="41D9FE19">
      <w:pPr>
        <w:tabs>
          <w:tab w:val="left" w:leader="none" w:pos="708"/>
        </w:tabs>
        <w:spacing w:before="0" w:beforeAutospacing="off" w:after="0" w:afterAutospacing="off" w:line="312" w:lineRule="auto"/>
        <w:jc w:val="both"/>
      </w:pPr>
      <w:r w:rsidRPr="3DD7734B" w:rsidR="3DD7734B">
        <w:rPr>
          <w:rFonts w:ascii="Arial" w:hAnsi="Arial" w:eastAsia="Arial" w:cs="Arial"/>
          <w:noProof w:val="0"/>
          <w:sz w:val="20"/>
          <w:szCs w:val="20"/>
          <w:lang w:val="en-US"/>
        </w:rPr>
        <w:t>Several improvements implemented by the DAVinCy TSOs in the recent past already decreased the amount of IVAs applied on Austrian CNECs. APG wants to highlight that it fully supports the innovative functioning of DAVinCy since it increases the overall benefit of the Core region compared to a purely national individual validation and could be used as blueprint for an effective coordinated validation approach among all Core TSOs.</w:t>
      </w:r>
    </w:p>
    <w:p w:rsidR="03D1E99D" w:rsidP="3DD7734B" w:rsidRDefault="03D1E99D" w14:paraId="43C09DB7" w14:textId="57B6B83B">
      <w:pPr>
        <w:spacing w:before="0" w:beforeAutospacing="off" w:after="0" w:afterAutospacing="off" w:line="312" w:lineRule="auto"/>
        <w:jc w:val="both"/>
      </w:pPr>
      <w:r w:rsidRPr="3DD7734B" w:rsidR="3DD7734B">
        <w:rPr>
          <w:rFonts w:ascii="Arial" w:hAnsi="Arial" w:eastAsia="Arial" w:cs="Arial"/>
          <w:noProof w:val="0"/>
          <w:sz w:val="20"/>
          <w:szCs w:val="20"/>
          <w:lang w:val="en-US"/>
        </w:rPr>
        <w:t xml:space="preserve"> </w:t>
      </w:r>
    </w:p>
    <w:p w:rsidR="03D1E99D" w:rsidP="3DD7734B" w:rsidRDefault="03D1E99D" w14:paraId="4F279B26" w14:textId="521075BE">
      <w:pPr>
        <w:tabs>
          <w:tab w:val="left" w:leader="none" w:pos="708"/>
        </w:tabs>
        <w:spacing w:before="0" w:beforeAutospacing="off" w:after="0" w:afterAutospacing="off" w:line="312" w:lineRule="auto"/>
        <w:jc w:val="both"/>
      </w:pPr>
      <w:r w:rsidRPr="3DD7734B" w:rsidR="3DD7734B">
        <w:rPr>
          <w:rFonts w:ascii="Arial" w:hAnsi="Arial" w:eastAsia="Arial" w:cs="Arial"/>
          <w:noProof w:val="0"/>
          <w:sz w:val="20"/>
          <w:szCs w:val="20"/>
          <w:lang w:val="en-GB"/>
        </w:rPr>
        <w:t xml:space="preserve">In addition to improvements of the individual validation process and DAVinCy itself, APG plans to implement further measures according to the Austrian Action Plan. Those measures include, but are not limited to:  </w:t>
      </w:r>
    </w:p>
    <w:p w:rsidR="03D1E99D" w:rsidP="3DD7734B" w:rsidRDefault="03D1E99D" w14:paraId="4C703E50" w14:textId="69DAE15B">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3DD7734B" w:rsidR="3DD7734B">
        <w:rPr>
          <w:rFonts w:ascii="Arial" w:hAnsi="Arial" w:eastAsia="Arial" w:cs="Arial"/>
          <w:noProof w:val="0"/>
          <w:sz w:val="20"/>
          <w:szCs w:val="20"/>
          <w:lang w:val="en-GB"/>
        </w:rPr>
        <w:t xml:space="preserve">Network reinforcement and optimisation, e.g. dynamic line rating to relieve grid elements with overloads in the future.  </w:t>
      </w:r>
    </w:p>
    <w:p w:rsidR="03D1E99D" w:rsidP="3DD7734B" w:rsidRDefault="03D1E99D" w14:paraId="69EEB258" w14:textId="5A65BB4C">
      <w:pPr>
        <w:pStyle w:val="Listenabsatz"/>
        <w:spacing w:before="0" w:beforeAutospacing="off" w:after="0" w:afterAutospacing="off" w:line="312" w:lineRule="auto"/>
        <w:ind w:left="720" w:right="0" w:hanging="360"/>
        <w:jc w:val="both"/>
        <w:rPr>
          <w:rFonts w:ascii="Arial" w:hAnsi="Arial" w:eastAsia="Arial" w:cs="Arial"/>
          <w:noProof w:val="0"/>
          <w:sz w:val="20"/>
          <w:szCs w:val="20"/>
          <w:lang w:val="en-GB"/>
        </w:rPr>
      </w:pPr>
      <w:r w:rsidRPr="3DD7734B" w:rsidR="3DD7734B">
        <w:rPr>
          <w:rFonts w:ascii="Arial" w:hAnsi="Arial" w:eastAsia="Arial" w:cs="Arial"/>
          <w:noProof w:val="0"/>
          <w:sz w:val="20"/>
          <w:szCs w:val="20"/>
          <w:lang w:val="en-GB"/>
        </w:rPr>
        <w:t>Network expansion and planned infrastructure projects according to the Network Development Plan.</w:t>
      </w:r>
    </w:p>
    <w:p w:rsidR="03D1E99D" w:rsidP="3DD7734B" w:rsidRDefault="03D1E99D" w14:paraId="7A0700AF" w14:textId="05E3EB80">
      <w:pPr>
        <w:pStyle w:val="Standard"/>
        <w:spacing w:before="0" w:beforeAutospacing="off" w:after="0" w:afterAutospacing="off"/>
      </w:pPr>
    </w:p>
    <w:p w:rsidR="03D1E99D" w:rsidP="00B74194" w:rsidRDefault="3664FA8C" w14:paraId="39A4912F" w14:textId="6EE902FB">
      <w:pPr>
        <w:pStyle w:val="berschrift2"/>
      </w:pPr>
      <w:bookmarkStart w:name="_Toc2100959461" w:id="27"/>
      <w:r>
        <w:t>German TSOs</w:t>
      </w:r>
      <w:bookmarkEnd w:id="27"/>
    </w:p>
    <w:p w:rsidR="00655648" w:rsidP="00655648" w:rsidRDefault="00655648" w14:paraId="72516010" w14:textId="77777777">
      <w:pPr>
        <w:tabs>
          <w:tab w:val="left" w:pos="708"/>
        </w:tabs>
        <w:spacing w:after="200"/>
        <w:rPr>
          <w:rFonts w:eastAsia="Arial" w:cs="Arial"/>
        </w:rPr>
      </w:pPr>
      <w:bookmarkStart w:name="_Toc1747601071" w:id="28"/>
      <w:r w:rsidRPr="15AD5865">
        <w:rPr>
          <w:rFonts w:eastAsia="Arial" w:cs="Arial"/>
        </w:rPr>
        <w:t xml:space="preserve">The application of an IVA prevents a network element from being overloaded and does not necessarily lead to a deviation from the minimum cross-zonal capacity according to Article 16(8) of regulation (EU) 2019/943 on the internal market of electricity. In case of a deviation from the minimum cross-zonal capacity, the compliance with the minimum cross-zonal capacity targets of the German action plan according to the monitoring methodology approved by the German NRA </w:t>
      </w:r>
      <w:proofErr w:type="spellStart"/>
      <w:r w:rsidRPr="15AD5865">
        <w:rPr>
          <w:rFonts w:eastAsia="Arial" w:cs="Arial"/>
        </w:rPr>
        <w:t>Bundesnetzagentur</w:t>
      </w:r>
      <w:proofErr w:type="spellEnd"/>
      <w:r w:rsidRPr="15AD5865">
        <w:rPr>
          <w:rFonts w:eastAsia="Arial" w:cs="Arial"/>
        </w:rPr>
        <w:t xml:space="preserve"> is subject to the regulatory scrutiny. This is done by an approval of the report of German TSOs on available cross-zonal capacity for the year 2023</w:t>
      </w:r>
      <w:r w:rsidRPr="629731F1">
        <w:rPr>
          <w:rStyle w:val="Funotenzeichen"/>
          <w:rFonts w:eastAsia="Arial" w:cs="Arial"/>
        </w:rPr>
        <w:footnoteReference w:id="2"/>
      </w:r>
      <w:r>
        <w:rPr>
          <w:rFonts w:eastAsia="Arial" w:cs="Arial"/>
        </w:rPr>
        <w:t xml:space="preserve">. </w:t>
      </w:r>
    </w:p>
    <w:p w:rsidR="00655648" w:rsidP="00655648" w:rsidRDefault="00655648" w14:paraId="36DF395A" w14:textId="77777777">
      <w:pPr>
        <w:tabs>
          <w:tab w:val="left" w:pos="708"/>
        </w:tabs>
        <w:spacing w:after="200"/>
      </w:pPr>
      <w:r w:rsidRPr="656C0BE9">
        <w:rPr>
          <w:rFonts w:eastAsia="Arial" w:cs="Arial"/>
        </w:rPr>
        <w:t>Several improvements implemented by the DAVinCy TSOs in the recent past already decreased the amount of IVAs applied on their CNECs. German TSOs want to highlight that they fully support the innovative functioning of DAVinCy since it increases the overall benefit of the Core region compared to a purely national individual validation and could be used as blueprint for an effective coordinated validation approach among all Core TSOs.</w:t>
      </w:r>
    </w:p>
    <w:p w:rsidR="00655648" w:rsidP="00655648" w:rsidRDefault="00655648" w14:paraId="2CA80F22" w14:textId="77777777">
      <w:pPr>
        <w:spacing w:after="200" w:line="276" w:lineRule="auto"/>
        <w:jc w:val="left"/>
      </w:pPr>
      <w:r w:rsidRPr="656C0BE9">
        <w:rPr>
          <w:rFonts w:eastAsia="Arial" w:cs="Arial"/>
        </w:rPr>
        <w:t xml:space="preserve">Please note, that none of the German TSOs exceeded the 1-%-IVA threshold in Q4/2024 and are thus obligated to provide more details in this </w:t>
      </w:r>
      <w:proofErr w:type="spellStart"/>
      <w:r w:rsidRPr="656C0BE9">
        <w:rPr>
          <w:rFonts w:eastAsia="Arial" w:cs="Arial"/>
        </w:rPr>
        <w:t>annex.</w:t>
      </w:r>
      <w:r w:rsidRPr="15AD5865">
        <w:rPr>
          <w:rFonts w:eastAsia="Arial" w:cs="Arial"/>
        </w:rPr>
        <w:t>In</w:t>
      </w:r>
      <w:proofErr w:type="spellEnd"/>
      <w:r w:rsidRPr="15AD5865">
        <w:rPr>
          <w:rFonts w:eastAsia="Arial" w:cs="Arial"/>
        </w:rPr>
        <w:t xml:space="preserve"> addition to the measures mentioned in the general section for all DAVinCy TSOs, the planned grid enforcements within the control areas of the German TSOs will relieve grid elements with overloads in the future (cf. Action Plan of Germany</w:t>
      </w:r>
      <w:r>
        <w:rPr>
          <w:rStyle w:val="Funotenzeichen"/>
          <w:rFonts w:eastAsia="Arial" w:cs="Arial"/>
        </w:rPr>
        <w:footnoteReference w:id="3"/>
      </w:r>
      <w:r w:rsidRPr="15AD5865">
        <w:rPr>
          <w:rFonts w:eastAsia="Arial" w:cs="Arial"/>
        </w:rPr>
        <w:t xml:space="preserve"> and Network </w:t>
      </w:r>
      <w:r w:rsidRPr="15AD5865">
        <w:rPr>
          <w:rFonts w:eastAsia="Arial" w:cs="Arial"/>
        </w:rPr>
        <w:lastRenderedPageBreak/>
        <w:t>Development plan</w:t>
      </w:r>
      <w:r>
        <w:rPr>
          <w:rStyle w:val="Funotenzeichen"/>
          <w:rFonts w:eastAsia="Arial" w:cs="Arial"/>
        </w:rPr>
        <w:footnoteReference w:id="4"/>
      </w:r>
      <w:r w:rsidRPr="64E726F3">
        <w:rPr>
          <w:rFonts w:eastAsia="Arial" w:cs="Arial"/>
        </w:rPr>
        <w:t>)</w:t>
      </w:r>
      <w:r w:rsidRPr="15AD5865">
        <w:rPr>
          <w:rFonts w:eastAsia="Arial" w:cs="Arial"/>
        </w:rPr>
        <w:t xml:space="preserve"> will minimize the application of IVAs and, as required by Article 20(14)(b) and Article 20(15) DA CCM, avoid cross-zonal capacity reductions in the future.</w:t>
      </w:r>
    </w:p>
    <w:p w:rsidRPr="00B74194" w:rsidR="03D1E99D" w:rsidP="00B74194" w:rsidRDefault="7FF0427C" w14:paraId="221AAB04" w14:textId="16E50386">
      <w:pPr>
        <w:pStyle w:val="berschrift2"/>
      </w:pPr>
      <w:r>
        <w:t>TENNET TSO BV</w:t>
      </w:r>
      <w:bookmarkEnd w:id="28"/>
    </w:p>
    <w:p w:rsidR="7FF0427C" w:rsidP="7FF0427C" w:rsidRDefault="7FF0427C" w14:paraId="554A8B88" w14:textId="7961045E">
      <w:r w:rsidRPr="7FF0427C">
        <w:rPr>
          <w:rFonts w:eastAsia="Arial" w:cs="Arial"/>
          <w:lang w:val="en-US"/>
        </w:rPr>
        <w:t xml:space="preserve">During the fourth quarter of 2024 TTN applied IVAs to avoid situations for which no measures in real time would be available. Although IVAs reduce the RAM on a CNEC, it does not necessarily end up </w:t>
      </w:r>
      <w:r w:rsidRPr="7FF0427C">
        <w:rPr>
          <w:rFonts w:eastAsia="Arial" w:cs="Arial"/>
        </w:rPr>
        <w:t xml:space="preserve">in a violation of the minimum RAM available for cross zonal trade. Specifically, for the fourth quarter of 2024 the application of IVAs can be summarized as follows:   </w:t>
      </w:r>
    </w:p>
    <w:p w:rsidR="7FF0427C" w:rsidP="7FF0427C" w:rsidRDefault="7FF0427C" w14:paraId="3B0134FD" w14:textId="5C3BD75B">
      <w:pPr>
        <w:pStyle w:val="Listenabsatz"/>
        <w:ind w:left="1800"/>
        <w:rPr>
          <w:rFonts w:eastAsia="Arial"/>
          <w:szCs w:val="20"/>
          <w:lang w:val="en-IE"/>
        </w:rPr>
      </w:pPr>
      <w:r w:rsidRPr="7FF0427C">
        <w:rPr>
          <w:rFonts w:eastAsia="Arial"/>
          <w:szCs w:val="20"/>
          <w:lang w:val="en-US"/>
        </w:rPr>
        <w:t>For 0.59% of MTUs (13 hours) IVA was applied on pre-solved Dutch CNECs of the final FB domain</w:t>
      </w:r>
      <w:r w:rsidRPr="7FF0427C">
        <w:rPr>
          <w:rFonts w:eastAsia="Arial"/>
          <w:szCs w:val="20"/>
        </w:rPr>
        <w:t xml:space="preserve"> </w:t>
      </w:r>
      <w:r w:rsidRPr="7FF0427C">
        <w:rPr>
          <w:rFonts w:eastAsia="Arial"/>
          <w:szCs w:val="20"/>
          <w:lang w:val="en-IE"/>
        </w:rPr>
        <w:t xml:space="preserve">  </w:t>
      </w:r>
    </w:p>
    <w:p w:rsidR="7FF0427C" w:rsidP="7FF0427C" w:rsidRDefault="7FF0427C" w14:paraId="60BDA56B" w14:textId="045CCB84">
      <w:pPr>
        <w:pStyle w:val="Listenabsatz"/>
        <w:ind w:left="1800"/>
        <w:rPr>
          <w:rFonts w:eastAsia="Arial"/>
          <w:szCs w:val="20"/>
          <w:lang w:val="en-IE"/>
        </w:rPr>
      </w:pPr>
      <w:r w:rsidRPr="7FF0427C">
        <w:rPr>
          <w:rFonts w:eastAsia="Arial"/>
          <w:szCs w:val="20"/>
          <w:lang w:val="en-US"/>
        </w:rPr>
        <w:t>For 5 MTUs IVA was applied on CNECs that were active constraints during the market coupling.</w:t>
      </w:r>
      <w:r w:rsidRPr="7FF0427C">
        <w:rPr>
          <w:rFonts w:eastAsia="Arial"/>
          <w:szCs w:val="20"/>
        </w:rPr>
        <w:t xml:space="preserve"> </w:t>
      </w:r>
      <w:r w:rsidRPr="7FF0427C">
        <w:rPr>
          <w:rFonts w:eastAsia="Arial"/>
          <w:szCs w:val="20"/>
          <w:lang w:val="en-IE"/>
        </w:rPr>
        <w:t xml:space="preserve">  </w:t>
      </w:r>
    </w:p>
    <w:p w:rsidR="7FF0427C" w:rsidP="7FF0427C" w:rsidRDefault="7FF0427C" w14:paraId="625B43A2" w14:textId="5585179E">
      <w:pPr>
        <w:pStyle w:val="Listenabsatz"/>
        <w:ind w:left="1800"/>
        <w:rPr>
          <w:rFonts w:eastAsia="Arial"/>
          <w:szCs w:val="20"/>
          <w:lang w:val="en-IE"/>
        </w:rPr>
      </w:pPr>
      <w:r w:rsidRPr="7FF0427C">
        <w:rPr>
          <w:rFonts w:eastAsia="Arial"/>
          <w:szCs w:val="20"/>
          <w:lang w:val="en-US"/>
        </w:rPr>
        <w:t>The average IVA as % of Fmax over all 31 affected MTUs was 12.72%.</w:t>
      </w:r>
      <w:r w:rsidRPr="7FF0427C">
        <w:rPr>
          <w:rFonts w:eastAsia="Arial"/>
          <w:szCs w:val="20"/>
        </w:rPr>
        <w:t xml:space="preserve"> </w:t>
      </w:r>
      <w:r w:rsidRPr="7FF0427C">
        <w:rPr>
          <w:rFonts w:eastAsia="Arial"/>
          <w:szCs w:val="20"/>
          <w:lang w:val="en-IE"/>
        </w:rPr>
        <w:t xml:space="preserve">  </w:t>
      </w:r>
    </w:p>
    <w:p w:rsidR="7FF0427C" w:rsidP="7FF0427C" w:rsidRDefault="7FF0427C" w14:paraId="7A0B34FC" w14:textId="56F1D4B8">
      <w:r w:rsidRPr="7FF0427C">
        <w:rPr>
          <w:rFonts w:eastAsia="Arial" w:cs="Arial"/>
          <w:lang w:val="en-US"/>
        </w:rPr>
        <w:t xml:space="preserve"> </w:t>
      </w:r>
      <w:r w:rsidRPr="7FF0427C">
        <w:rPr>
          <w:rFonts w:eastAsia="Arial" w:cs="Arial"/>
          <w:lang w:val="en-GB"/>
        </w:rPr>
        <w:t xml:space="preserve"> </w:t>
      </w:r>
      <w:r w:rsidRPr="7FF0427C">
        <w:rPr>
          <w:rFonts w:eastAsia="Arial" w:cs="Arial"/>
          <w:lang w:val="en-US"/>
        </w:rPr>
        <w:t xml:space="preserve">  </w:t>
      </w:r>
      <w:r w:rsidRPr="7FF0427C">
        <w:rPr>
          <w:rFonts w:eastAsia="Arial" w:cs="Arial"/>
          <w:lang w:val="en-GB"/>
        </w:rPr>
        <w:t xml:space="preserve"> </w:t>
      </w:r>
      <w:r w:rsidRPr="7FF0427C">
        <w:rPr>
          <w:rFonts w:eastAsia="Arial" w:cs="Arial"/>
        </w:rPr>
        <w:t xml:space="preserve">  </w:t>
      </w:r>
    </w:p>
    <w:p w:rsidR="7FF0427C" w:rsidP="7FF0427C" w:rsidRDefault="7FF0427C" w14:paraId="7CE51B17" w14:textId="705AAB1B">
      <w:r w:rsidRPr="7FF0427C">
        <w:rPr>
          <w:rFonts w:eastAsia="Arial" w:cs="Arial"/>
          <w:color w:val="000000" w:themeColor="text1"/>
          <w:lang w:val="en-GB"/>
        </w:rPr>
        <w:t xml:space="preserve">General measures to avoid cross-zonal capacity reductions in the future (Art. 20(14)(b) of DA CCM) are for TTN the following:  </w:t>
      </w:r>
      <w:r w:rsidRPr="7FF0427C">
        <w:rPr>
          <w:rFonts w:eastAsia="Arial" w:cs="Arial"/>
          <w:color w:val="000000" w:themeColor="text1"/>
        </w:rPr>
        <w:t xml:space="preserve">  </w:t>
      </w:r>
    </w:p>
    <w:p w:rsidR="7FF0427C" w:rsidP="7FF0427C" w:rsidRDefault="7FF0427C" w14:paraId="68C8220B" w14:textId="68F2EE49">
      <w:pPr>
        <w:pStyle w:val="Listenabsatz"/>
        <w:ind w:left="1800"/>
        <w:rPr>
          <w:rFonts w:eastAsia="Arial"/>
          <w:szCs w:val="20"/>
          <w:lang w:val="en-IE"/>
        </w:rPr>
      </w:pPr>
      <w:r w:rsidRPr="7FF0427C">
        <w:rPr>
          <w:rFonts w:eastAsia="Arial"/>
          <w:szCs w:val="20"/>
          <w:lang w:val="en-US"/>
        </w:rPr>
        <w:t xml:space="preserve">In the DAVinCy tool the available redispatch potential for the Dutch </w:t>
      </w:r>
      <w:proofErr w:type="spellStart"/>
      <w:r w:rsidRPr="7FF0427C">
        <w:rPr>
          <w:rFonts w:eastAsia="Arial"/>
          <w:szCs w:val="20"/>
          <w:lang w:val="en-US"/>
        </w:rPr>
        <w:t>biddingzone</w:t>
      </w:r>
      <w:proofErr w:type="spellEnd"/>
      <w:r w:rsidRPr="7FF0427C">
        <w:rPr>
          <w:rFonts w:eastAsia="Arial"/>
          <w:szCs w:val="20"/>
          <w:lang w:val="en-US"/>
        </w:rPr>
        <w:t xml:space="preserve"> was expanded in Q3 2024 by the addition of offshore wind generation. The primary benefit of this is the availability of additional downward regulating redispatch potential which is often missing during hours/days where &gt;90% of all electricity generation originates from renewable energy sources. </w:t>
      </w:r>
      <w:r w:rsidRPr="7FF0427C">
        <w:rPr>
          <w:rFonts w:eastAsia="Arial"/>
          <w:szCs w:val="20"/>
        </w:rPr>
        <w:t xml:space="preserve"> </w:t>
      </w:r>
      <w:r w:rsidRPr="7FF0427C">
        <w:rPr>
          <w:rFonts w:eastAsia="Arial"/>
          <w:szCs w:val="20"/>
          <w:lang w:val="en-IE"/>
        </w:rPr>
        <w:t xml:space="preserve">  </w:t>
      </w:r>
    </w:p>
    <w:p w:rsidR="7FF0427C" w:rsidP="7FF0427C" w:rsidRDefault="7FF0427C" w14:paraId="3CDC8CD2" w14:textId="6E2AF750">
      <w:pPr>
        <w:pStyle w:val="Listenabsatz"/>
        <w:ind w:left="1800"/>
        <w:rPr>
          <w:rFonts w:eastAsia="Arial"/>
          <w:szCs w:val="20"/>
          <w:lang w:val="en-IE"/>
        </w:rPr>
      </w:pPr>
      <w:r w:rsidRPr="7FF0427C">
        <w:rPr>
          <w:rFonts w:eastAsia="Arial"/>
          <w:szCs w:val="20"/>
          <w:lang w:val="en-US"/>
        </w:rPr>
        <w:t>Grid reinforcement projects will increase thermal capacities in the long term.</w:t>
      </w:r>
    </w:p>
    <w:p w:rsidR="7FF0427C" w:rsidP="7FF0427C" w:rsidRDefault="7FF0427C" w14:paraId="1BF1CB16" w14:textId="7844D554"/>
    <w:p w:rsidR="03D1E99D" w:rsidP="18728DE7" w:rsidRDefault="03D1E99D" w14:paraId="584FC452" w14:textId="3AA2C949">
      <w:pPr>
        <w:rPr>
          <w:rFonts w:eastAsia="Arial" w:cs="Arial"/>
          <w:lang w:val="en-GB"/>
        </w:rPr>
      </w:pPr>
    </w:p>
    <w:p w:rsidRPr="00B74194" w:rsidR="03D1E99D" w:rsidP="00B74194" w:rsidRDefault="0A478607" w14:paraId="0FD8ECFF" w14:textId="1EFB9155">
      <w:pPr>
        <w:pStyle w:val="berschrift1"/>
      </w:pPr>
      <w:bookmarkStart w:name="_Toc275666727" w:id="29"/>
      <w:r w:rsidRPr="00B74194">
        <w:t>ELES</w:t>
      </w:r>
      <w:bookmarkEnd w:id="29"/>
    </w:p>
    <w:p w:rsidR="52AA4229" w:rsidP="52AA4229" w:rsidRDefault="52AA4229" w14:paraId="40FAD587" w14:textId="5F6836B0">
      <w:pPr>
        <w:rPr>
          <w:rFonts w:eastAsia="Arial" w:cs="Arial"/>
          <w:lang w:val="en-GB"/>
        </w:rPr>
      </w:pPr>
    </w:p>
    <w:p w:rsidR="03D1E99D" w:rsidP="1C08B95C" w:rsidRDefault="1C08B95C" w14:paraId="678A81A2" w14:textId="2EF864FC">
      <w:pPr>
        <w:rPr>
          <w:rFonts w:eastAsia="Arial" w:cs="Arial"/>
          <w:color w:val="000000" w:themeColor="text1"/>
          <w:lang w:val="en-GB"/>
        </w:rPr>
      </w:pPr>
      <w:r w:rsidRPr="1C08B95C">
        <w:rPr>
          <w:rFonts w:eastAsia="Arial" w:cs="Arial"/>
          <w:b/>
          <w:bCs/>
          <w:color w:val="000000" w:themeColor="text1"/>
          <w:lang w:val="en-GB"/>
        </w:rPr>
        <w:t>General measures to avoid cross-zonal capacity reductions in the future, as per Art. 20(14)(b) of DA CCM</w:t>
      </w:r>
    </w:p>
    <w:p w:rsidR="03D1E99D" w:rsidP="1C08B95C" w:rsidRDefault="1C08B95C" w14:paraId="3C6A8F91" w14:textId="0B670408">
      <w:pPr>
        <w:pStyle w:val="Listenabsatz"/>
        <w:spacing w:after="200" w:line="276" w:lineRule="auto"/>
        <w:rPr>
          <w:rFonts w:eastAsia="Arial"/>
          <w:bCs w:val="0"/>
          <w:color w:val="000000" w:themeColor="text1"/>
          <w:szCs w:val="20"/>
        </w:rPr>
      </w:pPr>
      <w:r w:rsidRPr="1C08B95C">
        <w:rPr>
          <w:rFonts w:eastAsia="Arial"/>
          <w:bCs w:val="0"/>
          <w:color w:val="000000" w:themeColor="text1"/>
          <w:szCs w:val="20"/>
        </w:rPr>
        <w:t xml:space="preserve">Improvement in congestion management – we will continue to improve the quality of our inputs for CORE DA CC </w:t>
      </w:r>
      <w:proofErr w:type="gramStart"/>
      <w:r w:rsidRPr="1C08B95C">
        <w:rPr>
          <w:rFonts w:eastAsia="Arial"/>
          <w:bCs w:val="0"/>
          <w:color w:val="000000" w:themeColor="text1"/>
          <w:szCs w:val="20"/>
        </w:rPr>
        <w:t>in order to</w:t>
      </w:r>
      <w:proofErr w:type="gramEnd"/>
      <w:r w:rsidRPr="1C08B95C">
        <w:rPr>
          <w:rFonts w:eastAsia="Arial"/>
          <w:bCs w:val="0"/>
          <w:color w:val="000000" w:themeColor="text1"/>
          <w:szCs w:val="20"/>
        </w:rPr>
        <w:t xml:space="preserve"> avoid unnecessary IVA application in case of errors in inputs files.</w:t>
      </w:r>
    </w:p>
    <w:p w:rsidR="03D1E99D" w:rsidP="1C08B95C" w:rsidRDefault="1C08B95C" w14:paraId="33C22369" w14:textId="1B15E18E">
      <w:pPr>
        <w:pStyle w:val="Listenabsatz"/>
        <w:spacing w:after="200" w:line="276" w:lineRule="auto"/>
        <w:rPr>
          <w:rFonts w:eastAsia="Arial"/>
          <w:bCs w:val="0"/>
          <w:color w:val="000000" w:themeColor="text1"/>
          <w:szCs w:val="20"/>
        </w:rPr>
      </w:pPr>
      <w:r w:rsidRPr="1C08B95C">
        <w:rPr>
          <w:rFonts w:eastAsia="Arial"/>
          <w:bCs w:val="0"/>
          <w:color w:val="000000" w:themeColor="text1"/>
          <w:szCs w:val="20"/>
        </w:rPr>
        <w:t>Network development and optimisation</w:t>
      </w:r>
    </w:p>
    <w:p w:rsidR="03D1E99D" w:rsidP="1C08B95C" w:rsidRDefault="1C08B95C" w14:paraId="4A9C2784" w14:textId="6E2C1365">
      <w:pPr>
        <w:spacing w:line="276" w:lineRule="auto"/>
        <w:rPr>
          <w:rFonts w:eastAsia="Arial" w:cs="Arial"/>
          <w:color w:val="000000" w:themeColor="text1"/>
          <w:lang w:val="en-GB"/>
        </w:rPr>
      </w:pPr>
      <w:r w:rsidRPr="1C08B95C">
        <w:rPr>
          <w:rFonts w:eastAsia="Arial" w:cs="Arial"/>
          <w:b/>
          <w:bCs/>
          <w:color w:val="000000" w:themeColor="text1"/>
          <w:lang w:val="en-GB"/>
        </w:rPr>
        <w:t>Detailed report and action plan describing how such deviations are expected to be alleviated and solved in the future</w:t>
      </w:r>
    </w:p>
    <w:p w:rsidR="03D1E99D" w:rsidP="3AFF408E" w:rsidRDefault="3AFF408E" w14:paraId="5926A1CA" w14:textId="528CAF54">
      <w:pPr>
        <w:spacing w:line="276" w:lineRule="auto"/>
        <w:rPr>
          <w:rFonts w:eastAsia="Arial" w:cs="Arial"/>
          <w:color w:val="000000" w:themeColor="text1"/>
          <w:lang w:val="en-GB"/>
        </w:rPr>
      </w:pPr>
      <w:r w:rsidRPr="04D1B4BE" w:rsidR="04D1B4BE">
        <w:rPr>
          <w:rFonts w:eastAsia="Arial" w:cs="Arial"/>
          <w:color w:val="000000" w:themeColor="text1" w:themeTint="FF" w:themeShade="FF"/>
          <w:lang w:val="en-GB"/>
        </w:rPr>
        <w:t xml:space="preserve">In the fourth quarter of 2024, ELES applied reduction for </w:t>
      </w:r>
      <w:r w:rsidRPr="04D1B4BE" w:rsidR="04D1B4BE">
        <w:rPr>
          <w:rFonts w:eastAsia="Arial" w:cs="Arial"/>
          <w:b w:val="1"/>
          <w:bCs w:val="1"/>
          <w:color w:val="000000" w:themeColor="text1" w:themeTint="FF" w:themeShade="FF"/>
          <w:lang w:val="en-GB"/>
        </w:rPr>
        <w:t xml:space="preserve">31,9 </w:t>
      </w:r>
      <w:r w:rsidRPr="04D1B4BE" w:rsidR="04D1B4BE">
        <w:rPr>
          <w:rFonts w:eastAsia="Arial" w:cs="Arial"/>
          <w:color w:val="000000" w:themeColor="text1" w:themeTint="FF" w:themeShade="FF"/>
          <w:lang w:val="en-GB"/>
        </w:rPr>
        <w:t>%</w:t>
      </w:r>
      <w:r w:rsidRPr="04D1B4BE" w:rsidR="04D1B4BE">
        <w:rPr>
          <w:rFonts w:eastAsia="Arial" w:cs="Arial"/>
          <w:b w:val="1"/>
          <w:bCs w:val="1"/>
          <w:color w:val="000000" w:themeColor="text1" w:themeTint="FF" w:themeShade="FF"/>
          <w:lang w:val="en-GB"/>
        </w:rPr>
        <w:t xml:space="preserve"> </w:t>
      </w:r>
      <w:r w:rsidRPr="04D1B4BE" w:rsidR="04D1B4BE">
        <w:rPr>
          <w:rFonts w:eastAsia="Arial" w:cs="Arial"/>
          <w:color w:val="000000" w:themeColor="text1" w:themeTint="FF" w:themeShade="FF"/>
          <w:lang w:val="en-GB"/>
        </w:rPr>
        <w:t>of MTU. There are three main reasons for this:</w:t>
      </w:r>
    </w:p>
    <w:p w:rsidR="03D1E99D" w:rsidP="1C08B95C" w:rsidRDefault="1C08B95C" w14:paraId="3CEDFFDC" w14:textId="52FF11CA">
      <w:pPr>
        <w:pStyle w:val="Listenabsatz"/>
        <w:spacing w:after="200" w:line="276" w:lineRule="auto"/>
        <w:rPr>
          <w:rFonts w:eastAsia="Arial"/>
          <w:bCs w:val="0"/>
          <w:color w:val="000000" w:themeColor="text1"/>
          <w:szCs w:val="20"/>
        </w:rPr>
      </w:pPr>
      <w:r w:rsidRPr="1C08B95C">
        <w:rPr>
          <w:rFonts w:eastAsia="Arial"/>
          <w:bCs w:val="0"/>
          <w:color w:val="000000" w:themeColor="text1"/>
          <w:szCs w:val="20"/>
        </w:rPr>
        <w:lastRenderedPageBreak/>
        <w:t xml:space="preserve">Presence of two CCR: The main reason for reduction at ELES is the fact, that we are in the </w:t>
      </w:r>
      <w:proofErr w:type="gramStart"/>
      <w:r w:rsidRPr="1C08B95C">
        <w:rPr>
          <w:rFonts w:eastAsia="Arial"/>
          <w:bCs w:val="0"/>
          <w:color w:val="000000" w:themeColor="text1"/>
          <w:szCs w:val="20"/>
        </w:rPr>
        <w:t>cross-road</w:t>
      </w:r>
      <w:proofErr w:type="gramEnd"/>
      <w:r w:rsidRPr="1C08B95C">
        <w:rPr>
          <w:rFonts w:eastAsia="Arial"/>
          <w:bCs w:val="0"/>
          <w:color w:val="000000" w:themeColor="text1"/>
          <w:szCs w:val="20"/>
        </w:rPr>
        <w:t xml:space="preserve"> of two CCR, which both aim to maximise capacities in order to fulfil 70% criteria. Often, maximisation of the capacities in Italy North CCR have negative effect on the RAM of Slovenian elements in CORE CCR. This is mostly due to the fact, that we have a PST on the Slovenian – Italian border, that is used to maximise Italy North NTC values.</w:t>
      </w:r>
    </w:p>
    <w:p w:rsidR="03D1E99D" w:rsidP="1C08B95C" w:rsidRDefault="1C08B95C" w14:paraId="78F3216F" w14:textId="458260F5">
      <w:pPr>
        <w:pStyle w:val="Listenabsatz"/>
        <w:spacing w:after="200" w:line="276" w:lineRule="auto"/>
        <w:rPr>
          <w:rFonts w:eastAsia="Arial"/>
          <w:bCs w:val="0"/>
          <w:color w:val="000000" w:themeColor="text1"/>
          <w:szCs w:val="20"/>
        </w:rPr>
      </w:pPr>
      <w:r w:rsidRPr="1C08B95C">
        <w:rPr>
          <w:rFonts w:eastAsia="Arial"/>
          <w:bCs w:val="0"/>
          <w:color w:val="000000" w:themeColor="text1"/>
          <w:szCs w:val="20"/>
        </w:rPr>
        <w:t xml:space="preserve">Network weaknesses – there are some weaknesses on our network, most critical are the lines </w:t>
      </w:r>
      <w:proofErr w:type="spellStart"/>
      <w:r w:rsidRPr="1C08B95C">
        <w:rPr>
          <w:rFonts w:eastAsia="Arial"/>
          <w:bCs w:val="0"/>
          <w:color w:val="000000" w:themeColor="text1"/>
          <w:szCs w:val="20"/>
        </w:rPr>
        <w:t>Podlog</w:t>
      </w:r>
      <w:proofErr w:type="spellEnd"/>
      <w:r w:rsidRPr="1C08B95C">
        <w:rPr>
          <w:rFonts w:eastAsia="Arial"/>
          <w:bCs w:val="0"/>
          <w:color w:val="000000" w:themeColor="text1"/>
          <w:szCs w:val="20"/>
        </w:rPr>
        <w:t xml:space="preserve"> – </w:t>
      </w:r>
      <w:proofErr w:type="spellStart"/>
      <w:r w:rsidRPr="1C08B95C">
        <w:rPr>
          <w:rFonts w:eastAsia="Arial"/>
          <w:bCs w:val="0"/>
          <w:color w:val="000000" w:themeColor="text1"/>
          <w:szCs w:val="20"/>
        </w:rPr>
        <w:t>Obersielach</w:t>
      </w:r>
      <w:proofErr w:type="spellEnd"/>
      <w:r w:rsidRPr="1C08B95C">
        <w:rPr>
          <w:rFonts w:eastAsia="Arial"/>
          <w:bCs w:val="0"/>
          <w:color w:val="000000" w:themeColor="text1"/>
          <w:szCs w:val="20"/>
        </w:rPr>
        <w:t xml:space="preserve"> (SI-AT) and </w:t>
      </w:r>
      <w:proofErr w:type="spellStart"/>
      <w:r w:rsidRPr="1C08B95C">
        <w:rPr>
          <w:rFonts w:eastAsia="Arial"/>
          <w:bCs w:val="0"/>
          <w:color w:val="000000" w:themeColor="text1"/>
          <w:szCs w:val="20"/>
        </w:rPr>
        <w:t>Divaca</w:t>
      </w:r>
      <w:proofErr w:type="spellEnd"/>
      <w:r w:rsidRPr="1C08B95C">
        <w:rPr>
          <w:rFonts w:eastAsia="Arial"/>
          <w:bCs w:val="0"/>
          <w:color w:val="000000" w:themeColor="text1"/>
          <w:szCs w:val="20"/>
        </w:rPr>
        <w:t xml:space="preserve"> – </w:t>
      </w:r>
      <w:proofErr w:type="spellStart"/>
      <w:r w:rsidRPr="1C08B95C">
        <w:rPr>
          <w:rFonts w:eastAsia="Arial"/>
          <w:bCs w:val="0"/>
          <w:color w:val="000000" w:themeColor="text1"/>
          <w:szCs w:val="20"/>
        </w:rPr>
        <w:t>Pehlin</w:t>
      </w:r>
      <w:proofErr w:type="spellEnd"/>
      <w:r w:rsidRPr="1C08B95C">
        <w:rPr>
          <w:rFonts w:eastAsia="Arial"/>
          <w:bCs w:val="0"/>
          <w:color w:val="000000" w:themeColor="text1"/>
          <w:szCs w:val="20"/>
        </w:rPr>
        <w:t xml:space="preserve"> (SI - HR) - for both, the most reductions were applied. </w:t>
      </w:r>
    </w:p>
    <w:p w:rsidR="03D1E99D" w:rsidP="1C08B95C" w:rsidRDefault="1C08B95C" w14:paraId="56B56DF3" w14:textId="5865D7E9">
      <w:pPr>
        <w:spacing w:line="276" w:lineRule="auto"/>
        <w:rPr>
          <w:rFonts w:eastAsia="Arial" w:cs="Arial"/>
          <w:color w:val="000000" w:themeColor="text1"/>
          <w:lang w:val="en-GB"/>
        </w:rPr>
      </w:pPr>
      <w:r w:rsidRPr="1C08B95C">
        <w:rPr>
          <w:rFonts w:eastAsia="Arial" w:cs="Arial"/>
          <w:color w:val="000000" w:themeColor="text1"/>
          <w:lang w:val="en-GB"/>
        </w:rPr>
        <w:t>Our plan to improve the situation consists of the following:</w:t>
      </w:r>
    </w:p>
    <w:p w:rsidR="03D1E99D" w:rsidP="1C08B95C" w:rsidRDefault="1C08B95C" w14:paraId="235C9D5D" w14:textId="334D557E">
      <w:pPr>
        <w:pStyle w:val="Listenabsatz"/>
        <w:spacing w:after="200" w:line="276" w:lineRule="auto"/>
        <w:rPr>
          <w:rFonts w:eastAsia="Arial"/>
          <w:bCs w:val="0"/>
          <w:color w:val="000000" w:themeColor="text1"/>
          <w:szCs w:val="20"/>
        </w:rPr>
      </w:pPr>
      <w:r w:rsidRPr="1C08B95C">
        <w:rPr>
          <w:rFonts w:eastAsia="Arial"/>
          <w:bCs w:val="0"/>
          <w:color w:val="000000" w:themeColor="text1"/>
          <w:szCs w:val="20"/>
        </w:rPr>
        <w:t xml:space="preserve">Additional training of operators and improvement of the local validation tool </w:t>
      </w:r>
      <w:proofErr w:type="gramStart"/>
      <w:r w:rsidRPr="1C08B95C">
        <w:rPr>
          <w:rFonts w:eastAsia="Arial"/>
          <w:bCs w:val="0"/>
          <w:color w:val="000000" w:themeColor="text1"/>
          <w:szCs w:val="20"/>
        </w:rPr>
        <w:t>in order to</w:t>
      </w:r>
      <w:proofErr w:type="gramEnd"/>
      <w:r w:rsidRPr="1C08B95C">
        <w:rPr>
          <w:rFonts w:eastAsia="Arial"/>
          <w:bCs w:val="0"/>
          <w:color w:val="000000" w:themeColor="text1"/>
          <w:szCs w:val="20"/>
        </w:rPr>
        <w:t xml:space="preserve"> improve the process and improve stability and reliability of the tool</w:t>
      </w:r>
    </w:p>
    <w:p w:rsidR="03D1E99D" w:rsidP="1C08B95C" w:rsidRDefault="1C08B95C" w14:paraId="27B2C020" w14:textId="78C1D048">
      <w:pPr>
        <w:pStyle w:val="Listenabsatz"/>
        <w:spacing w:after="200" w:line="276" w:lineRule="auto"/>
        <w:rPr>
          <w:rFonts w:eastAsia="Arial"/>
          <w:bCs w:val="0"/>
          <w:color w:val="000000" w:themeColor="text1"/>
          <w:szCs w:val="20"/>
        </w:rPr>
      </w:pPr>
      <w:r w:rsidRPr="1C08B95C">
        <w:rPr>
          <w:rFonts w:eastAsia="Arial"/>
          <w:bCs w:val="0"/>
          <w:color w:val="000000" w:themeColor="text1"/>
          <w:szCs w:val="20"/>
        </w:rPr>
        <w:t xml:space="preserve">Analysis will be performed on accuracy of validation tool (e.g. comparing the flows considered during the validation and realised flows). Based on the result of the analysis, the validation tool reliability margin will be adjusted </w:t>
      </w:r>
      <w:proofErr w:type="gramStart"/>
      <w:r w:rsidRPr="1C08B95C">
        <w:rPr>
          <w:rFonts w:eastAsia="Arial"/>
          <w:bCs w:val="0"/>
          <w:color w:val="000000" w:themeColor="text1"/>
          <w:szCs w:val="20"/>
        </w:rPr>
        <w:t>in order to</w:t>
      </w:r>
      <w:proofErr w:type="gramEnd"/>
      <w:r w:rsidRPr="1C08B95C">
        <w:rPr>
          <w:rFonts w:eastAsia="Arial"/>
          <w:bCs w:val="0"/>
          <w:color w:val="000000" w:themeColor="text1"/>
          <w:szCs w:val="20"/>
        </w:rPr>
        <w:t xml:space="preserve"> decrease the level of IVA application.</w:t>
      </w:r>
    </w:p>
    <w:p w:rsidR="03D1E99D" w:rsidP="1C08B95C" w:rsidRDefault="1C08B95C" w14:paraId="7390BD3F" w14:textId="40467F47">
      <w:pPr>
        <w:pStyle w:val="Listenabsatz"/>
        <w:spacing w:after="200" w:line="276" w:lineRule="auto"/>
        <w:rPr>
          <w:rFonts w:eastAsia="Arial"/>
          <w:bCs w:val="0"/>
          <w:color w:val="000000" w:themeColor="text1"/>
          <w:szCs w:val="20"/>
        </w:rPr>
      </w:pPr>
      <w:r w:rsidRPr="1C08B95C">
        <w:rPr>
          <w:rFonts w:eastAsia="Arial"/>
          <w:bCs w:val="0"/>
          <w:color w:val="000000" w:themeColor="text1"/>
          <w:szCs w:val="20"/>
          <w:lang w:val="en-IE"/>
        </w:rPr>
        <w:t xml:space="preserve">Network development and optimisation - </w:t>
      </w:r>
      <w:r w:rsidRPr="1C08B95C">
        <w:rPr>
          <w:rFonts w:eastAsia="Arial"/>
          <w:bCs w:val="0"/>
          <w:color w:val="000000" w:themeColor="text1"/>
          <w:szCs w:val="20"/>
        </w:rPr>
        <w:t xml:space="preserve">For the </w:t>
      </w:r>
      <w:proofErr w:type="spellStart"/>
      <w:r w:rsidRPr="1C08B95C">
        <w:rPr>
          <w:rFonts w:eastAsia="Arial"/>
          <w:bCs w:val="0"/>
          <w:color w:val="000000" w:themeColor="text1"/>
          <w:szCs w:val="20"/>
        </w:rPr>
        <w:t>Podlog</w:t>
      </w:r>
      <w:proofErr w:type="spellEnd"/>
      <w:r w:rsidRPr="1C08B95C">
        <w:rPr>
          <w:rFonts w:eastAsia="Arial"/>
          <w:bCs w:val="0"/>
          <w:color w:val="000000" w:themeColor="text1"/>
          <w:szCs w:val="20"/>
        </w:rPr>
        <w:t xml:space="preserve"> – </w:t>
      </w:r>
      <w:proofErr w:type="spellStart"/>
      <w:r w:rsidRPr="1C08B95C">
        <w:rPr>
          <w:rFonts w:eastAsia="Arial"/>
          <w:bCs w:val="0"/>
          <w:color w:val="000000" w:themeColor="text1"/>
          <w:szCs w:val="20"/>
        </w:rPr>
        <w:t>Obersielach</w:t>
      </w:r>
      <w:proofErr w:type="spellEnd"/>
      <w:r w:rsidRPr="1C08B95C">
        <w:rPr>
          <w:rFonts w:eastAsia="Arial"/>
          <w:bCs w:val="0"/>
          <w:color w:val="000000" w:themeColor="text1"/>
          <w:szCs w:val="20"/>
        </w:rPr>
        <w:t xml:space="preserve"> line, we are in the process to obtain and install a static serous synchronous compensator (SSSC) </w:t>
      </w:r>
      <w:proofErr w:type="gramStart"/>
      <w:r w:rsidRPr="1C08B95C">
        <w:rPr>
          <w:rFonts w:eastAsia="Arial"/>
          <w:bCs w:val="0"/>
          <w:color w:val="000000" w:themeColor="text1"/>
          <w:szCs w:val="20"/>
        </w:rPr>
        <w:t>in order to</w:t>
      </w:r>
      <w:proofErr w:type="gramEnd"/>
      <w:r w:rsidRPr="1C08B95C">
        <w:rPr>
          <w:rFonts w:eastAsia="Arial"/>
          <w:bCs w:val="0"/>
          <w:color w:val="000000" w:themeColor="text1"/>
          <w:szCs w:val="20"/>
        </w:rPr>
        <w:t xml:space="preserve"> be able to relieve the flow on the element. For the </w:t>
      </w:r>
      <w:proofErr w:type="spellStart"/>
      <w:r w:rsidRPr="1C08B95C">
        <w:rPr>
          <w:rFonts w:eastAsia="Arial"/>
          <w:bCs w:val="0"/>
          <w:color w:val="000000" w:themeColor="text1"/>
          <w:szCs w:val="20"/>
        </w:rPr>
        <w:t>Divaca</w:t>
      </w:r>
      <w:proofErr w:type="spellEnd"/>
      <w:r w:rsidRPr="1C08B95C">
        <w:rPr>
          <w:rFonts w:eastAsia="Arial"/>
          <w:bCs w:val="0"/>
          <w:color w:val="000000" w:themeColor="text1"/>
          <w:szCs w:val="20"/>
        </w:rPr>
        <w:t xml:space="preserve"> – </w:t>
      </w:r>
      <w:proofErr w:type="spellStart"/>
      <w:r w:rsidRPr="1C08B95C">
        <w:rPr>
          <w:rFonts w:eastAsia="Arial"/>
          <w:bCs w:val="0"/>
          <w:color w:val="000000" w:themeColor="text1"/>
          <w:szCs w:val="20"/>
        </w:rPr>
        <w:t>Pehlin</w:t>
      </w:r>
      <w:proofErr w:type="spellEnd"/>
      <w:r w:rsidRPr="1C08B95C">
        <w:rPr>
          <w:rFonts w:eastAsia="Arial"/>
          <w:bCs w:val="0"/>
          <w:color w:val="000000" w:themeColor="text1"/>
          <w:szCs w:val="20"/>
        </w:rPr>
        <w:t xml:space="preserve"> line, we are still investigation different possibilities to increase capacities (SSSC or high temperature lines).</w:t>
      </w:r>
    </w:p>
    <w:p w:rsidR="03D1E99D" w:rsidP="1C08B95C" w:rsidRDefault="03D1E99D" w14:paraId="4DB884A4" w14:textId="5FC66E27">
      <w:pPr>
        <w:spacing w:after="200" w:line="276" w:lineRule="auto"/>
        <w:jc w:val="left"/>
        <w:rPr>
          <w:rFonts w:eastAsia="Arial" w:cs="Arial"/>
          <w:color w:val="7F7F7F" w:themeColor="text1" w:themeTint="80"/>
          <w:sz w:val="28"/>
          <w:szCs w:val="28"/>
          <w:lang w:val="en-GB"/>
        </w:rPr>
      </w:pPr>
    </w:p>
    <w:p w:rsidR="00E313E3" w:rsidP="03D1E99D" w:rsidRDefault="00E313E3" w14:paraId="14A5302E" w14:textId="77777777">
      <w:pPr>
        <w:spacing w:after="200" w:line="276" w:lineRule="auto"/>
        <w:jc w:val="left"/>
        <w:rPr>
          <w:rFonts w:eastAsia="Arial" w:cs="Arial"/>
          <w:color w:val="7F7F7F" w:themeColor="text1" w:themeTint="80"/>
          <w:sz w:val="28"/>
          <w:szCs w:val="28"/>
          <w:lang w:val="en-GB"/>
        </w:rPr>
      </w:pPr>
    </w:p>
    <w:p w:rsidRPr="00B74194" w:rsidR="03D1E99D" w:rsidP="00B74194" w:rsidRDefault="0A478607" w14:paraId="40677382" w14:textId="1F6E82F1">
      <w:pPr>
        <w:pStyle w:val="berschrift1"/>
      </w:pPr>
      <w:bookmarkStart w:name="_Toc207466340" w:id="30"/>
      <w:r w:rsidRPr="00B74194">
        <w:t>ELIA</w:t>
      </w:r>
      <w:bookmarkEnd w:id="30"/>
    </w:p>
    <w:p w:rsidR="00E313E3" w:rsidP="6F77E70E" w:rsidRDefault="00E313E3" w14:paraId="665DE9C8" w14:textId="0EC46B86">
      <w:pPr>
        <w:pStyle w:val="Standard"/>
        <w:spacing w:after="200" w:line="276" w:lineRule="auto"/>
        <w:jc w:val="left"/>
        <w:rPr>
          <w:rFonts w:ascii="Arial" w:hAnsi="Arial" w:eastAsia="Arial" w:cs="Arial"/>
          <w:b w:val="0"/>
          <w:bCs w:val="0"/>
          <w:i w:val="0"/>
          <w:iCs w:val="0"/>
          <w:caps w:val="0"/>
          <w:smallCaps w:val="0"/>
          <w:noProof w:val="0"/>
          <w:color w:val="242424"/>
          <w:sz w:val="22"/>
          <w:szCs w:val="22"/>
          <w:lang w:val="en-GB"/>
        </w:rPr>
      </w:pPr>
      <w:r w:rsidRPr="6F77E70E" w:rsidR="6F77E70E">
        <w:rPr>
          <w:rFonts w:ascii="Arial" w:hAnsi="Arial" w:eastAsia="Arial" w:cs="Arial"/>
          <w:b w:val="0"/>
          <w:bCs w:val="0"/>
          <w:i w:val="0"/>
          <w:iCs w:val="0"/>
          <w:caps w:val="0"/>
          <w:smallCaps w:val="0"/>
          <w:noProof w:val="0"/>
          <w:color w:val="000000" w:themeColor="text1" w:themeTint="FF" w:themeShade="FF"/>
          <w:sz w:val="20"/>
          <w:szCs w:val="20"/>
          <w:lang w:val="en-GB"/>
        </w:rPr>
        <w:t>General measures to avoid cross-zonal capacity reductions in the future, as per Art. 20(14)(b) of DA CCM</w:t>
      </w:r>
      <w:r w:rsidRPr="6F77E70E" w:rsidR="6F77E70E">
        <w:rPr>
          <w:rFonts w:ascii="Arial" w:hAnsi="Arial" w:eastAsia="Arial" w:cs="Arial"/>
          <w:b w:val="0"/>
          <w:bCs w:val="0"/>
          <w:i w:val="0"/>
          <w:iCs w:val="0"/>
          <w:caps w:val="0"/>
          <w:smallCaps w:val="0"/>
          <w:noProof w:val="0"/>
          <w:color w:val="242424"/>
          <w:sz w:val="20"/>
          <w:szCs w:val="20"/>
          <w:lang w:val="en-GB"/>
        </w:rPr>
        <w:t xml:space="preserve"> include, but are not limited to:</w:t>
      </w:r>
      <w:r w:rsidRPr="6F77E70E" w:rsidR="6F77E70E">
        <w:rPr>
          <w:rFonts w:ascii="Arial" w:hAnsi="Arial" w:eastAsia="Arial" w:cs="Arial"/>
          <w:b w:val="0"/>
          <w:bCs w:val="0"/>
          <w:i w:val="0"/>
          <w:iCs w:val="0"/>
          <w:caps w:val="0"/>
          <w:smallCaps w:val="0"/>
          <w:noProof w:val="0"/>
          <w:color w:val="242424"/>
          <w:sz w:val="22"/>
          <w:szCs w:val="22"/>
          <w:lang w:val="en-GB"/>
        </w:rPr>
        <w:t xml:space="preserve"> </w:t>
      </w:r>
    </w:p>
    <w:p w:rsidR="00E313E3" w:rsidP="6F77E70E" w:rsidRDefault="00E313E3" w14:paraId="7A024D36" w14:textId="79E654DE">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6F77E70E" w:rsidR="6F77E70E">
        <w:rPr>
          <w:rFonts w:ascii="Arial" w:hAnsi="Arial" w:eastAsia="Arial" w:cs="Arial"/>
          <w:b w:val="0"/>
          <w:bCs w:val="0"/>
          <w:i w:val="0"/>
          <w:iCs w:val="0"/>
          <w:caps w:val="0"/>
          <w:smallCaps w:val="0"/>
          <w:noProof w:val="0"/>
          <w:color w:val="242424"/>
          <w:sz w:val="20"/>
          <w:szCs w:val="20"/>
          <w:lang w:val="en-GB"/>
        </w:rPr>
        <w:t>A daily follow up plus short-term mitigations and long-term local validation of the tool has been set up to improve the tool aiming to:</w:t>
      </w:r>
    </w:p>
    <w:p w:rsidR="00E313E3" w:rsidP="6F77E70E" w:rsidRDefault="00E313E3" w14:paraId="3D630583" w14:textId="0FD879E7">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6F77E70E" w:rsidR="6F77E70E">
        <w:rPr>
          <w:rFonts w:ascii="Arial" w:hAnsi="Arial" w:eastAsia="Arial" w:cs="Arial"/>
          <w:b w:val="0"/>
          <w:bCs w:val="0"/>
          <w:i w:val="0"/>
          <w:iCs w:val="0"/>
          <w:caps w:val="0"/>
          <w:smallCaps w:val="0"/>
          <w:noProof w:val="0"/>
          <w:color w:val="242424"/>
          <w:sz w:val="20"/>
          <w:szCs w:val="20"/>
          <w:lang w:val="en-GB"/>
        </w:rPr>
        <w:t>reduce the number of occurrences of fallbacks,</w:t>
      </w:r>
    </w:p>
    <w:p w:rsidR="00E313E3" w:rsidP="6F77E70E" w:rsidRDefault="00E313E3" w14:paraId="29640D78" w14:textId="57242E0C">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6F77E70E" w:rsidR="6F77E70E">
        <w:rPr>
          <w:rFonts w:ascii="Arial" w:hAnsi="Arial" w:eastAsia="Arial" w:cs="Arial"/>
          <w:b w:val="0"/>
          <w:bCs w:val="0"/>
          <w:i w:val="0"/>
          <w:iCs w:val="0"/>
          <w:caps w:val="0"/>
          <w:smallCaps w:val="0"/>
          <w:noProof w:val="0"/>
          <w:color w:val="242424"/>
          <w:sz w:val="20"/>
          <w:szCs w:val="20"/>
          <w:lang w:val="en-GB"/>
        </w:rPr>
        <w:t>reduce the number of occurrences of spanning by switching to DCLF when no ACLF converges,</w:t>
      </w:r>
    </w:p>
    <w:p w:rsidR="00E313E3" w:rsidP="6F77E70E" w:rsidRDefault="00E313E3" w14:paraId="77CCBE13" w14:textId="58FAAFA7">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6F77E70E" w:rsidR="6F77E70E">
        <w:rPr>
          <w:rFonts w:ascii="Arial" w:hAnsi="Arial" w:eastAsia="Arial" w:cs="Arial"/>
          <w:b w:val="0"/>
          <w:bCs w:val="0"/>
          <w:i w:val="0"/>
          <w:iCs w:val="0"/>
          <w:caps w:val="0"/>
          <w:smallCaps w:val="0"/>
          <w:noProof w:val="0"/>
          <w:color w:val="242424"/>
          <w:sz w:val="20"/>
          <w:szCs w:val="20"/>
          <w:lang w:val="en-GB"/>
        </w:rPr>
        <w:t>reduce the number of occurrences of excessive IVA application due to failure in the derogation step.</w:t>
      </w:r>
    </w:p>
    <w:p w:rsidR="00E313E3" w:rsidP="6F77E70E" w:rsidRDefault="00E313E3" w14:paraId="1FA2A420" w14:textId="1C9ED907">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6F77E70E" w:rsidR="6F77E70E">
        <w:rPr>
          <w:rFonts w:ascii="Arial" w:hAnsi="Arial" w:eastAsia="Arial" w:cs="Arial"/>
          <w:b w:val="0"/>
          <w:bCs w:val="0"/>
          <w:i w:val="0"/>
          <w:iCs w:val="0"/>
          <w:caps w:val="0"/>
          <w:smallCaps w:val="0"/>
          <w:noProof w:val="0"/>
          <w:color w:val="242424"/>
          <w:sz w:val="20"/>
          <w:szCs w:val="20"/>
          <w:lang w:val="en-GB"/>
        </w:rPr>
        <w:t>Congestion management through the shifting of overloads from the congested element to other CNECs via PST optimization to reduce the overall overloads, this action is already in place.</w:t>
      </w:r>
    </w:p>
    <w:p w:rsidR="00E313E3" w:rsidP="6F77E70E" w:rsidRDefault="00E313E3" w14:paraId="2F66F7D6" w14:textId="12A86DC4">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6F77E70E" w:rsidR="6F77E70E">
        <w:rPr>
          <w:rFonts w:ascii="Arial" w:hAnsi="Arial" w:eastAsia="Arial" w:cs="Arial"/>
          <w:b w:val="0"/>
          <w:bCs w:val="0"/>
          <w:i w:val="0"/>
          <w:iCs w:val="0"/>
          <w:caps w:val="0"/>
          <w:smallCaps w:val="0"/>
          <w:noProof w:val="0"/>
          <w:color w:val="242424"/>
          <w:sz w:val="20"/>
          <w:szCs w:val="20"/>
          <w:lang w:val="en-GB"/>
        </w:rPr>
        <w:t xml:space="preserve">Common Core action ongoing to correct the </w:t>
      </w:r>
      <w:proofErr w:type="spellStart"/>
      <w:r w:rsidRPr="6F77E70E" w:rsidR="6F77E70E">
        <w:rPr>
          <w:rFonts w:ascii="Arial" w:hAnsi="Arial" w:eastAsia="Arial" w:cs="Arial"/>
          <w:b w:val="0"/>
          <w:bCs w:val="0"/>
          <w:i w:val="0"/>
          <w:iCs w:val="0"/>
          <w:caps w:val="0"/>
          <w:smallCaps w:val="0"/>
          <w:noProof w:val="0"/>
          <w:color w:val="242424"/>
          <w:sz w:val="20"/>
          <w:szCs w:val="20"/>
          <w:lang w:val="en-GB"/>
        </w:rPr>
        <w:t>DCimbalance</w:t>
      </w:r>
      <w:proofErr w:type="spellEnd"/>
      <w:r w:rsidRPr="6F77E70E" w:rsidR="6F77E70E">
        <w:rPr>
          <w:rFonts w:ascii="Arial" w:hAnsi="Arial" w:eastAsia="Arial" w:cs="Arial"/>
          <w:b w:val="0"/>
          <w:bCs w:val="0"/>
          <w:i w:val="0"/>
          <w:iCs w:val="0"/>
          <w:caps w:val="0"/>
          <w:smallCaps w:val="0"/>
          <w:noProof w:val="0"/>
          <w:color w:val="242424"/>
          <w:sz w:val="20"/>
          <w:szCs w:val="20"/>
          <w:lang w:val="en-GB"/>
        </w:rPr>
        <w:t xml:space="preserve"> corrected and the CGM used in the FB DA CC process to make the </w:t>
      </w:r>
      <w:proofErr w:type="spellStart"/>
      <w:r w:rsidRPr="6F77E70E" w:rsidR="6F77E70E">
        <w:rPr>
          <w:rFonts w:ascii="Arial" w:hAnsi="Arial" w:eastAsia="Arial" w:cs="Arial"/>
          <w:b w:val="0"/>
          <w:bCs w:val="0"/>
          <w:i w:val="0"/>
          <w:iCs w:val="0"/>
          <w:caps w:val="0"/>
          <w:smallCaps w:val="0"/>
          <w:noProof w:val="0"/>
          <w:color w:val="242424"/>
          <w:sz w:val="20"/>
          <w:szCs w:val="20"/>
          <w:lang w:val="en-GB"/>
        </w:rPr>
        <w:t>flowbased</w:t>
      </w:r>
      <w:proofErr w:type="spellEnd"/>
      <w:r w:rsidRPr="6F77E70E" w:rsidR="6F77E70E">
        <w:rPr>
          <w:rFonts w:ascii="Arial" w:hAnsi="Arial" w:eastAsia="Arial" w:cs="Arial"/>
          <w:b w:val="0"/>
          <w:bCs w:val="0"/>
          <w:i w:val="0"/>
          <w:iCs w:val="0"/>
          <w:caps w:val="0"/>
          <w:smallCaps w:val="0"/>
          <w:noProof w:val="0"/>
          <w:color w:val="242424"/>
          <w:sz w:val="20"/>
          <w:szCs w:val="20"/>
          <w:lang w:val="en-GB"/>
        </w:rPr>
        <w:t xml:space="preserve"> calculations more correct.</w:t>
      </w:r>
    </w:p>
    <w:p w:rsidR="00E313E3" w:rsidP="6F77E70E" w:rsidRDefault="00E313E3" w14:paraId="7CE006C0" w14:textId="45F751A8">
      <w:pPr>
        <w:pStyle w:val="Standard"/>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p>
    <w:p w:rsidR="00E313E3" w:rsidP="6F77E70E" w:rsidRDefault="00E313E3" w14:paraId="7FF05667" w14:textId="6B41CA62">
      <w:pPr>
        <w:spacing w:after="0" w:line="312" w:lineRule="auto"/>
        <w:ind w:firstLine="720"/>
        <w:jc w:val="both"/>
        <w:rPr>
          <w:rFonts w:ascii="Arial" w:hAnsi="Arial" w:eastAsia="Arial" w:cs="Arial"/>
          <w:b w:val="0"/>
          <w:bCs w:val="0"/>
          <w:i w:val="0"/>
          <w:iCs w:val="0"/>
          <w:caps w:val="0"/>
          <w:smallCaps w:val="0"/>
          <w:noProof w:val="0"/>
          <w:color w:val="242424"/>
          <w:sz w:val="20"/>
          <w:szCs w:val="20"/>
          <w:lang w:val="en-GB"/>
        </w:rPr>
      </w:pPr>
      <w:r w:rsidRPr="6F77E70E" w:rsidR="6F77E70E">
        <w:rPr>
          <w:rFonts w:ascii="Arial" w:hAnsi="Arial" w:eastAsia="Arial" w:cs="Arial"/>
          <w:b w:val="1"/>
          <w:bCs w:val="1"/>
          <w:i w:val="0"/>
          <w:iCs w:val="0"/>
          <w:caps w:val="0"/>
          <w:smallCaps w:val="0"/>
          <w:noProof w:val="0"/>
          <w:color w:val="242424"/>
          <w:sz w:val="20"/>
          <w:szCs w:val="20"/>
          <w:lang w:val="en-GB"/>
        </w:rPr>
        <w:t>Temporary structural situation:</w:t>
      </w:r>
    </w:p>
    <w:p w:rsidR="00E313E3" w:rsidP="6F77E70E" w:rsidRDefault="00E313E3" w14:paraId="118E935B" w14:textId="0A673853">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6F77E70E" w:rsidR="6F77E70E">
        <w:rPr>
          <w:rFonts w:ascii="Arial" w:hAnsi="Arial" w:eastAsia="Arial" w:cs="Arial"/>
          <w:b w:val="0"/>
          <w:bCs w:val="0"/>
          <w:i w:val="0"/>
          <w:iCs w:val="0"/>
          <w:caps w:val="0"/>
          <w:smallCaps w:val="0"/>
          <w:noProof w:val="0"/>
          <w:color w:val="242424"/>
          <w:sz w:val="20"/>
          <w:szCs w:val="20"/>
          <w:lang w:val="en-GB"/>
        </w:rPr>
        <w:t>The nuclear phase out planned in Belgium is going to decrease the congestion around Doel and Mercator which are the most congested area. There is no additional action plan concerning these IVAs.</w:t>
      </w:r>
    </w:p>
    <w:p w:rsidR="00E313E3" w:rsidP="6F77E70E" w:rsidRDefault="00E313E3" w14:paraId="357DDB72" w14:textId="0170DDC9">
      <w:pPr>
        <w:spacing w:after="0" w:line="312" w:lineRule="auto"/>
        <w:ind w:firstLine="720"/>
        <w:jc w:val="both"/>
        <w:rPr>
          <w:rFonts w:ascii="Arial" w:hAnsi="Arial" w:eastAsia="Arial" w:cs="Arial"/>
          <w:b w:val="0"/>
          <w:bCs w:val="0"/>
          <w:i w:val="0"/>
          <w:iCs w:val="0"/>
          <w:caps w:val="0"/>
          <w:smallCaps w:val="0"/>
          <w:noProof w:val="0"/>
          <w:color w:val="242424"/>
          <w:sz w:val="20"/>
          <w:szCs w:val="20"/>
          <w:lang w:val="en-GB"/>
        </w:rPr>
      </w:pPr>
      <w:r w:rsidRPr="6F77E70E" w:rsidR="6F77E70E">
        <w:rPr>
          <w:rFonts w:ascii="Arial" w:hAnsi="Arial" w:eastAsia="Arial" w:cs="Arial"/>
          <w:b w:val="1"/>
          <w:bCs w:val="1"/>
          <w:i w:val="0"/>
          <w:iCs w:val="0"/>
          <w:caps w:val="0"/>
          <w:smallCaps w:val="0"/>
          <w:noProof w:val="0"/>
          <w:color w:val="242424"/>
          <w:sz w:val="20"/>
          <w:szCs w:val="20"/>
          <w:lang w:val="en-GB"/>
        </w:rPr>
        <w:t>Situation linked to short outages:</w:t>
      </w:r>
    </w:p>
    <w:p w:rsidR="00E313E3" w:rsidP="6F77E70E" w:rsidRDefault="00E313E3" w14:paraId="1EF82950" w14:textId="31A7663B">
      <w:pPr>
        <w:pStyle w:val="Listenabsatz"/>
        <w:tabs>
          <w:tab w:val="num" w:leader="none" w:pos="720"/>
        </w:tabs>
        <w:spacing w:after="0" w:line="312" w:lineRule="auto"/>
        <w:jc w:val="left"/>
        <w:rPr>
          <w:rFonts w:ascii="Arial" w:hAnsi="Arial" w:eastAsia="Arial" w:cs="Arial"/>
          <w:b w:val="0"/>
          <w:bCs w:val="0"/>
          <w:i w:val="0"/>
          <w:iCs w:val="0"/>
          <w:caps w:val="0"/>
          <w:smallCaps w:val="0"/>
          <w:noProof w:val="0"/>
          <w:color w:val="242424"/>
          <w:sz w:val="20"/>
          <w:szCs w:val="20"/>
          <w:lang w:val="en-GB"/>
        </w:rPr>
      </w:pPr>
      <w:r w:rsidRPr="6F77E70E" w:rsidR="6F77E70E">
        <w:rPr>
          <w:rFonts w:ascii="Arial" w:hAnsi="Arial" w:eastAsia="Arial" w:cs="Arial"/>
          <w:b w:val="0"/>
          <w:bCs w:val="0"/>
          <w:i w:val="0"/>
          <w:iCs w:val="0"/>
          <w:caps w:val="0"/>
          <w:smallCaps w:val="0"/>
          <w:noProof w:val="0"/>
          <w:color w:val="242424"/>
          <w:sz w:val="20"/>
          <w:szCs w:val="20"/>
          <w:lang w:val="en-GB"/>
        </w:rPr>
        <w:t>There are no extra investments foreseen to cover N-2 situations like for temporary short outages.</w:t>
      </w:r>
    </w:p>
    <w:p w:rsidR="00E313E3" w:rsidP="6F77E70E" w:rsidRDefault="00E313E3" w14:paraId="62581E1E" w14:textId="02C3924D">
      <w:pPr>
        <w:spacing w:after="200" w:line="276" w:lineRule="auto"/>
        <w:jc w:val="left"/>
        <w:rPr>
          <w:rFonts w:ascii="Arial" w:hAnsi="Arial" w:eastAsia="Arial" w:cs="Arial"/>
          <w:b w:val="0"/>
          <w:bCs w:val="0"/>
          <w:i w:val="0"/>
          <w:iCs w:val="0"/>
          <w:caps w:val="0"/>
          <w:smallCaps w:val="0"/>
          <w:noProof w:val="0"/>
          <w:color w:val="7F7F7F" w:themeColor="text1" w:themeTint="80" w:themeShade="FF"/>
          <w:sz w:val="28"/>
          <w:szCs w:val="28"/>
          <w:lang w:val="en-GB"/>
        </w:rPr>
      </w:pPr>
    </w:p>
    <w:p w:rsidR="00E313E3" w:rsidP="6F77E70E" w:rsidRDefault="00E313E3" w14:paraId="1058B891" w14:textId="76F269BC">
      <w:pPr>
        <w:pStyle w:val="Standard"/>
        <w:spacing w:after="200" w:line="276" w:lineRule="auto"/>
        <w:jc w:val="left"/>
        <w:rPr>
          <w:rFonts w:eastAsia="Arial" w:cs="Arial"/>
          <w:color w:val="7F7F7F" w:themeColor="text1" w:themeTint="80"/>
          <w:sz w:val="28"/>
          <w:szCs w:val="28"/>
          <w:lang w:val="en-GB"/>
        </w:rPr>
      </w:pPr>
    </w:p>
    <w:p w:rsidR="00E313E3" w:rsidP="03D1E99D" w:rsidRDefault="00E313E3" w14:paraId="5E6018AB" w14:textId="77777777">
      <w:pPr>
        <w:spacing w:after="200" w:line="276" w:lineRule="auto"/>
        <w:jc w:val="left"/>
        <w:rPr>
          <w:rFonts w:eastAsia="Arial" w:cs="Arial"/>
          <w:color w:val="7F7F7F" w:themeColor="text1" w:themeTint="80"/>
          <w:sz w:val="28"/>
          <w:szCs w:val="28"/>
          <w:lang w:val="en-GB"/>
        </w:rPr>
      </w:pPr>
    </w:p>
    <w:p w:rsidRPr="00B74194" w:rsidR="03D1E99D" w:rsidP="00B74194" w:rsidRDefault="73DEB3EB" w14:paraId="3DF23178" w14:textId="3F8CA2C2">
      <w:pPr>
        <w:pStyle w:val="berschrift1"/>
      </w:pPr>
      <w:bookmarkStart w:name="_Toc1481775661" w:id="31"/>
      <w:r>
        <w:t>HOPS</w:t>
      </w:r>
      <w:bookmarkEnd w:id="31"/>
    </w:p>
    <w:p w:rsidR="006776F6" w:rsidP="73DEB3EB" w:rsidRDefault="73DEB3EB" w14:paraId="084C2171" w14:textId="4E52C96A">
      <w:pPr>
        <w:pStyle w:val="Listenabsatz"/>
        <w:rPr>
          <w:rFonts w:eastAsia="Arial"/>
          <w:szCs w:val="20"/>
        </w:rPr>
      </w:pPr>
      <w:r w:rsidRPr="73DEB3EB">
        <w:rPr>
          <w:rFonts w:eastAsia="Arial"/>
          <w:szCs w:val="20"/>
        </w:rPr>
        <w:t>General measures to avoid cross-zonal capacity reductions in the future, as per Art. 20(14)(b) of DA CCM</w:t>
      </w:r>
    </w:p>
    <w:p w:rsidR="006776F6" w:rsidP="73DEB3EB" w:rsidRDefault="73DEB3EB" w14:paraId="2E11D39F" w14:textId="1D120614">
      <w:pPr>
        <w:tabs>
          <w:tab w:val="left" w:pos="708"/>
        </w:tabs>
        <w:rPr>
          <w:rFonts w:eastAsia="Arial" w:cs="Arial"/>
          <w:lang w:val="en-GB"/>
        </w:rPr>
      </w:pPr>
      <w:r w:rsidRPr="73DEB3EB">
        <w:rPr>
          <w:rFonts w:eastAsia="Arial" w:cs="Arial"/>
          <w:lang w:val="en-GB"/>
        </w:rPr>
        <w:t xml:space="preserve"> </w:t>
      </w:r>
    </w:p>
    <w:p w:rsidR="006776F6" w:rsidP="73DEB3EB" w:rsidRDefault="73DEB3EB" w14:paraId="1F50C93F" w14:textId="3064E12A">
      <w:r w:rsidRPr="73DEB3EB">
        <w:rPr>
          <w:rFonts w:eastAsia="Arial" w:cs="Arial"/>
        </w:rPr>
        <w:t>General measures include, but are not limited to:</w:t>
      </w:r>
    </w:p>
    <w:p w:rsidR="006776F6" w:rsidP="73DEB3EB" w:rsidRDefault="73DEB3EB" w14:paraId="4717ACEE" w14:textId="007A7E0D">
      <w:pPr>
        <w:pStyle w:val="Listenabsatz"/>
        <w:rPr>
          <w:rFonts w:eastAsia="Arial"/>
          <w:szCs w:val="20"/>
        </w:rPr>
      </w:pPr>
      <w:r w:rsidRPr="73DEB3EB">
        <w:rPr>
          <w:rFonts w:eastAsia="Arial"/>
          <w:szCs w:val="20"/>
        </w:rPr>
        <w:t>Network development and optimisation</w:t>
      </w:r>
    </w:p>
    <w:p w:rsidR="006776F6" w:rsidP="73DEB3EB" w:rsidRDefault="73DEB3EB" w14:paraId="750A3620" w14:textId="4947C578">
      <w:r w:rsidRPr="73DEB3EB">
        <w:rPr>
          <w:rFonts w:eastAsia="Arial" w:cs="Arial"/>
        </w:rPr>
        <w:t>The goal is to increase the transmission capacity and reduce grid congestion. The measures to achieve these goals include strengthening the optimising the existing network and the development of new infrastructure.</w:t>
      </w:r>
    </w:p>
    <w:p w:rsidR="006776F6" w:rsidP="73DEB3EB" w:rsidRDefault="73DEB3EB" w14:paraId="203DAD1E" w14:textId="37C6FCF0">
      <w:pPr>
        <w:pStyle w:val="Listenabsatz"/>
        <w:rPr>
          <w:rFonts w:eastAsia="Arial"/>
          <w:szCs w:val="20"/>
        </w:rPr>
      </w:pPr>
      <w:r w:rsidRPr="73DEB3EB">
        <w:rPr>
          <w:rFonts w:eastAsia="Arial"/>
          <w:szCs w:val="20"/>
        </w:rPr>
        <w:t>Improvements concerning congestion management</w:t>
      </w:r>
    </w:p>
    <w:p w:rsidR="006776F6" w:rsidP="73DEB3EB" w:rsidRDefault="73DEB3EB" w14:paraId="0F7B3A7D" w14:textId="1AC58D12">
      <w:pPr>
        <w:rPr>
          <w:rFonts w:eastAsia="Arial" w:cs="Arial"/>
        </w:rPr>
      </w:pPr>
      <w:r w:rsidRPr="73DEB3EB">
        <w:rPr>
          <w:rFonts w:eastAsia="Arial" w:cs="Arial"/>
        </w:rPr>
        <w:t xml:space="preserve">Core CCR coordinated improvements based on shared forecasts and aligned assumptions in capacity calculations with coordinated actions to increase cross-zonal capacities and reduce uncertainties (CGM improvements, Coordinated validation, etc.). Also, inclusion of third countries could open further opportunities for HOPS (with planning process and implementation of remedial measures). Unscheduled </w:t>
      </w:r>
      <w:r w:rsidRPr="73DEB3EB">
        <w:rPr>
          <w:rFonts w:eastAsia="Arial" w:cs="Arial"/>
        </w:rPr>
        <w:lastRenderedPageBreak/>
        <w:t>allocated flows coming from commercial exchanges outside the Core CCR (Fuaf) has a strong impact on HOPS grid.</w:t>
      </w:r>
    </w:p>
    <w:p w:rsidR="006776F6" w:rsidP="73DEB3EB" w:rsidRDefault="73DEB3EB" w14:paraId="62F1E019" w14:textId="768C08C2">
      <w:pPr>
        <w:rPr>
          <w:rFonts w:eastAsia="Arial" w:cs="Arial"/>
        </w:rPr>
      </w:pPr>
      <w:r w:rsidRPr="73DEB3EB">
        <w:rPr>
          <w:rFonts w:eastAsia="Arial" w:cs="Arial"/>
        </w:rPr>
        <w:t xml:space="preserve"> </w:t>
      </w:r>
    </w:p>
    <w:p w:rsidR="006776F6" w:rsidP="73DEB3EB" w:rsidRDefault="73DEB3EB" w14:paraId="1A9ECB10" w14:textId="1E334FA4">
      <w:pPr>
        <w:pStyle w:val="Listenabsatz"/>
        <w:rPr>
          <w:rFonts w:eastAsia="Arial"/>
          <w:szCs w:val="20"/>
        </w:rPr>
      </w:pPr>
      <w:r w:rsidRPr="73DEB3EB">
        <w:rPr>
          <w:rFonts w:eastAsia="Arial"/>
          <w:szCs w:val="20"/>
        </w:rPr>
        <w:t>Detailed report and action plan describing how such deviations are expected to be alleviated and solved in the future</w:t>
      </w:r>
    </w:p>
    <w:p w:rsidR="006776F6" w:rsidP="73DEB3EB" w:rsidRDefault="73DEB3EB" w14:paraId="299B76E9" w14:textId="1BC77651">
      <w:r w:rsidRPr="73DEB3EB">
        <w:rPr>
          <w:rFonts w:eastAsia="Arial" w:cs="Arial"/>
          <w:lang w:val="en-GB"/>
        </w:rPr>
        <w:t xml:space="preserve"> </w:t>
      </w:r>
    </w:p>
    <w:p w:rsidR="006776F6" w:rsidP="73DEB3EB" w:rsidRDefault="73DEB3EB" w14:paraId="7E76C995" w14:textId="27A8F254">
      <w:r w:rsidRPr="73DEB3EB">
        <w:rPr>
          <w:rFonts w:eastAsia="Arial" w:cs="Arial"/>
        </w:rPr>
        <w:t>In the analysed quarter (Q4 2024), HOPS applied reduction to around 17,5% MTUs. For most MTUs, the reductions are applied to:</w:t>
      </w:r>
    </w:p>
    <w:p w:rsidR="006776F6" w:rsidP="73DEB3EB" w:rsidRDefault="73DEB3EB" w14:paraId="27F36D9B" w14:textId="267BC377">
      <w:pPr>
        <w:pStyle w:val="Listenabsatz"/>
        <w:rPr>
          <w:rFonts w:eastAsia="Arial"/>
          <w:szCs w:val="20"/>
        </w:rPr>
      </w:pPr>
      <w:r w:rsidRPr="73DEB3EB">
        <w:rPr>
          <w:rFonts w:eastAsia="Arial"/>
          <w:szCs w:val="20"/>
        </w:rPr>
        <w:t xml:space="preserve">TL 220 kV </w:t>
      </w:r>
      <w:proofErr w:type="spellStart"/>
      <w:r w:rsidRPr="73DEB3EB">
        <w:rPr>
          <w:rFonts w:eastAsia="Arial"/>
          <w:szCs w:val="20"/>
        </w:rPr>
        <w:t>Pehlin</w:t>
      </w:r>
      <w:proofErr w:type="spellEnd"/>
      <w:r w:rsidRPr="73DEB3EB">
        <w:rPr>
          <w:rFonts w:eastAsia="Arial"/>
          <w:szCs w:val="20"/>
        </w:rPr>
        <w:t xml:space="preserve"> – </w:t>
      </w:r>
      <w:proofErr w:type="spellStart"/>
      <w:r w:rsidRPr="73DEB3EB">
        <w:rPr>
          <w:rFonts w:eastAsia="Arial"/>
          <w:szCs w:val="20"/>
        </w:rPr>
        <w:t>Divača</w:t>
      </w:r>
      <w:proofErr w:type="spellEnd"/>
      <w:r w:rsidRPr="73DEB3EB">
        <w:rPr>
          <w:rFonts w:eastAsia="Arial"/>
          <w:szCs w:val="20"/>
        </w:rPr>
        <w:t xml:space="preserve"> (16,98% MTUs, or around 95% of times of all applied reductions) with an associated contingency case TL 400 kV Melina - </w:t>
      </w:r>
      <w:proofErr w:type="spellStart"/>
      <w:r w:rsidRPr="73DEB3EB">
        <w:rPr>
          <w:rFonts w:eastAsia="Arial"/>
          <w:szCs w:val="20"/>
        </w:rPr>
        <w:t>Divača</w:t>
      </w:r>
      <w:proofErr w:type="spellEnd"/>
      <w:r w:rsidRPr="73DEB3EB">
        <w:rPr>
          <w:rFonts w:eastAsia="Arial"/>
          <w:szCs w:val="20"/>
        </w:rPr>
        <w:t>.</w:t>
      </w:r>
    </w:p>
    <w:p w:rsidR="006776F6" w:rsidP="73DEB3EB" w:rsidRDefault="73DEB3EB" w14:paraId="67EB528C" w14:textId="6F75A9B7">
      <w:pPr>
        <w:pStyle w:val="Listenabsatz"/>
        <w:rPr>
          <w:rFonts w:eastAsia="Arial"/>
          <w:szCs w:val="20"/>
        </w:rPr>
      </w:pPr>
      <w:r w:rsidRPr="73DEB3EB">
        <w:rPr>
          <w:rFonts w:eastAsia="Arial"/>
          <w:szCs w:val="20"/>
        </w:rPr>
        <w:t xml:space="preserve">TL 220 kV </w:t>
      </w:r>
      <w:proofErr w:type="spellStart"/>
      <w:r w:rsidRPr="73DEB3EB">
        <w:rPr>
          <w:rFonts w:eastAsia="Arial"/>
          <w:szCs w:val="20"/>
        </w:rPr>
        <w:t>Zakučac</w:t>
      </w:r>
      <w:proofErr w:type="spellEnd"/>
      <w:r w:rsidRPr="73DEB3EB">
        <w:rPr>
          <w:rFonts w:eastAsia="Arial"/>
          <w:szCs w:val="20"/>
        </w:rPr>
        <w:t xml:space="preserve"> - Mostar (0,36% MTUs, or around 2% of times of all applied reductions) without an associated contingency case.</w:t>
      </w:r>
    </w:p>
    <w:p w:rsidR="006776F6" w:rsidP="73DEB3EB" w:rsidRDefault="73DEB3EB" w14:paraId="77372E9A" w14:textId="684F7B41">
      <w:pPr>
        <w:pStyle w:val="Listenabsatz"/>
        <w:rPr>
          <w:rFonts w:eastAsia="Arial"/>
          <w:szCs w:val="20"/>
        </w:rPr>
      </w:pPr>
      <w:r w:rsidRPr="73DEB3EB">
        <w:rPr>
          <w:rFonts w:eastAsia="Arial"/>
          <w:szCs w:val="20"/>
        </w:rPr>
        <w:t xml:space="preserve">TL 400 kV </w:t>
      </w:r>
      <w:proofErr w:type="spellStart"/>
      <w:r w:rsidRPr="73DEB3EB">
        <w:rPr>
          <w:rFonts w:eastAsia="Arial"/>
          <w:szCs w:val="20"/>
        </w:rPr>
        <w:t>Ernestinovo</w:t>
      </w:r>
      <w:proofErr w:type="spellEnd"/>
      <w:r w:rsidRPr="73DEB3EB">
        <w:rPr>
          <w:rFonts w:eastAsia="Arial"/>
          <w:szCs w:val="20"/>
        </w:rPr>
        <w:t xml:space="preserve"> – Pecs 1 (0,13% MTUs, or around 0,75% of times of all applied reductions) with an associated contingency case TL 400 kV </w:t>
      </w:r>
      <w:proofErr w:type="spellStart"/>
      <w:r w:rsidRPr="73DEB3EB">
        <w:rPr>
          <w:rFonts w:eastAsia="Arial"/>
          <w:szCs w:val="20"/>
        </w:rPr>
        <w:t>Ernestinovo</w:t>
      </w:r>
      <w:proofErr w:type="spellEnd"/>
      <w:r w:rsidRPr="73DEB3EB">
        <w:rPr>
          <w:rFonts w:eastAsia="Arial"/>
          <w:szCs w:val="20"/>
        </w:rPr>
        <w:t xml:space="preserve"> – Pecs 2.</w:t>
      </w:r>
    </w:p>
    <w:p w:rsidR="006776F6" w:rsidP="73DEB3EB" w:rsidRDefault="73DEB3EB" w14:paraId="51DB3DC7" w14:textId="3F787059">
      <w:pPr>
        <w:pStyle w:val="Listenabsatz"/>
        <w:rPr>
          <w:rFonts w:eastAsia="Arial"/>
          <w:szCs w:val="20"/>
        </w:rPr>
      </w:pPr>
      <w:r w:rsidRPr="73DEB3EB">
        <w:rPr>
          <w:rFonts w:eastAsia="Arial"/>
          <w:szCs w:val="20"/>
        </w:rPr>
        <w:t xml:space="preserve">TL 400 kV </w:t>
      </w:r>
      <w:proofErr w:type="spellStart"/>
      <w:r w:rsidRPr="73DEB3EB">
        <w:rPr>
          <w:rFonts w:eastAsia="Arial"/>
          <w:szCs w:val="20"/>
        </w:rPr>
        <w:t>Ernestinovo</w:t>
      </w:r>
      <w:proofErr w:type="spellEnd"/>
      <w:r w:rsidRPr="73DEB3EB">
        <w:rPr>
          <w:rFonts w:eastAsia="Arial"/>
          <w:szCs w:val="20"/>
        </w:rPr>
        <w:t xml:space="preserve"> – Pecs 2 (0,13% MTUs, or around 0,75% of times of all applied reductions) with an associated contingency case TL 400 kV </w:t>
      </w:r>
      <w:proofErr w:type="spellStart"/>
      <w:r w:rsidRPr="73DEB3EB">
        <w:rPr>
          <w:rFonts w:eastAsia="Arial"/>
          <w:szCs w:val="20"/>
        </w:rPr>
        <w:t>Ernestinovo</w:t>
      </w:r>
      <w:proofErr w:type="spellEnd"/>
      <w:r w:rsidRPr="73DEB3EB">
        <w:rPr>
          <w:rFonts w:eastAsia="Arial"/>
          <w:szCs w:val="20"/>
        </w:rPr>
        <w:t xml:space="preserve"> – Pecs 1.</w:t>
      </w:r>
    </w:p>
    <w:p w:rsidR="006776F6" w:rsidP="73DEB3EB" w:rsidRDefault="73DEB3EB" w14:paraId="25BCA504" w14:textId="271AEF09">
      <w:r w:rsidRPr="73DEB3EB">
        <w:rPr>
          <w:rFonts w:eastAsia="Arial" w:cs="Arial"/>
        </w:rPr>
        <w:t xml:space="preserve"> </w:t>
      </w:r>
    </w:p>
    <w:p w:rsidR="006776F6" w:rsidP="73DEB3EB" w:rsidRDefault="73DEB3EB" w14:paraId="7317D680" w14:textId="10C86102">
      <w:r w:rsidRPr="73DEB3EB">
        <w:rPr>
          <w:rFonts w:eastAsia="Arial" w:cs="Arial"/>
        </w:rPr>
        <w:t xml:space="preserve">Applied reductions on network element are mostly low (less than 7% of Fmax), while for several MTUs during mid-November (BD20241119) higher values are applied on TL 220kV </w:t>
      </w:r>
      <w:proofErr w:type="spellStart"/>
      <w:r w:rsidRPr="73DEB3EB">
        <w:rPr>
          <w:rFonts w:eastAsia="Arial" w:cs="Arial"/>
        </w:rPr>
        <w:t>Pehlin</w:t>
      </w:r>
      <w:proofErr w:type="spellEnd"/>
      <w:r w:rsidRPr="73DEB3EB">
        <w:rPr>
          <w:rFonts w:eastAsia="Arial" w:cs="Arial"/>
        </w:rPr>
        <w:t xml:space="preserve"> - </w:t>
      </w:r>
      <w:proofErr w:type="spellStart"/>
      <w:r w:rsidRPr="73DEB3EB">
        <w:rPr>
          <w:rFonts w:eastAsia="Arial" w:cs="Arial"/>
        </w:rPr>
        <w:t>Divača</w:t>
      </w:r>
      <w:proofErr w:type="spellEnd"/>
      <w:r w:rsidRPr="73DEB3EB">
        <w:rPr>
          <w:rFonts w:eastAsia="Arial" w:cs="Arial"/>
        </w:rPr>
        <w:t xml:space="preserve"> due to unsolvable overloads in the relevant grid area caused by </w:t>
      </w:r>
      <w:proofErr w:type="spellStart"/>
      <w:r w:rsidRPr="73DEB3EB">
        <w:rPr>
          <w:rFonts w:eastAsia="Arial" w:cs="Arial"/>
        </w:rPr>
        <w:t>unavaliability</w:t>
      </w:r>
      <w:proofErr w:type="spellEnd"/>
      <w:r w:rsidRPr="73DEB3EB">
        <w:rPr>
          <w:rFonts w:eastAsia="Arial" w:cs="Arial"/>
        </w:rPr>
        <w:t xml:space="preserve"> of grid elements, additionally under the influence of high exchanges between Core and non-Core countries (impact of uncoordinated flows coming from third countries, mainly from the direction of RS and BA). Such reductions are planned to be solved by developing and optimising the transmission network.</w:t>
      </w:r>
    </w:p>
    <w:p w:rsidR="006776F6" w:rsidP="73DEB3EB" w:rsidRDefault="73DEB3EB" w14:paraId="00C44D7A" w14:textId="16C17B94">
      <w:r w:rsidRPr="73DEB3EB">
        <w:rPr>
          <w:rFonts w:eastAsia="Arial" w:cs="Arial"/>
        </w:rPr>
        <w:t xml:space="preserve"> </w:t>
      </w:r>
    </w:p>
    <w:p w:rsidR="006776F6" w:rsidP="73DEB3EB" w:rsidRDefault="73DEB3EB" w14:paraId="743AFB61" w14:textId="592A819E">
      <w:r w:rsidRPr="73DEB3EB">
        <w:rPr>
          <w:rFonts w:eastAsia="Arial" w:cs="Arial"/>
        </w:rPr>
        <w:t xml:space="preserve">For the 2025, we plan to install HTLS conductors on TL 220 kV </w:t>
      </w:r>
      <w:proofErr w:type="spellStart"/>
      <w:r w:rsidRPr="73DEB3EB">
        <w:rPr>
          <w:rFonts w:eastAsia="Arial" w:cs="Arial"/>
        </w:rPr>
        <w:t>Brinje</w:t>
      </w:r>
      <w:proofErr w:type="spellEnd"/>
      <w:r w:rsidRPr="73DEB3EB">
        <w:rPr>
          <w:rFonts w:eastAsia="Arial" w:cs="Arial"/>
        </w:rPr>
        <w:t xml:space="preserve"> – VE </w:t>
      </w:r>
      <w:proofErr w:type="spellStart"/>
      <w:r w:rsidRPr="73DEB3EB">
        <w:rPr>
          <w:rFonts w:eastAsia="Arial" w:cs="Arial"/>
        </w:rPr>
        <w:t>Pađene</w:t>
      </w:r>
      <w:proofErr w:type="spellEnd"/>
      <w:r w:rsidRPr="73DEB3EB">
        <w:rPr>
          <w:rFonts w:eastAsia="Arial" w:cs="Arial"/>
        </w:rPr>
        <w:t xml:space="preserve"> and on TL 220kV </w:t>
      </w:r>
      <w:proofErr w:type="spellStart"/>
      <w:r w:rsidRPr="73DEB3EB">
        <w:rPr>
          <w:rFonts w:eastAsia="Arial" w:cs="Arial"/>
        </w:rPr>
        <w:t>Konjsko</w:t>
      </w:r>
      <w:proofErr w:type="spellEnd"/>
      <w:r w:rsidRPr="73DEB3EB">
        <w:rPr>
          <w:rFonts w:eastAsia="Arial" w:cs="Arial"/>
        </w:rPr>
        <w:t xml:space="preserve"> – VE </w:t>
      </w:r>
      <w:proofErr w:type="spellStart"/>
      <w:r w:rsidRPr="73DEB3EB">
        <w:rPr>
          <w:rFonts w:eastAsia="Arial" w:cs="Arial"/>
        </w:rPr>
        <w:t>Pađene</w:t>
      </w:r>
      <w:proofErr w:type="spellEnd"/>
      <w:r w:rsidRPr="73DEB3EB">
        <w:rPr>
          <w:rFonts w:eastAsia="Arial" w:cs="Arial"/>
        </w:rPr>
        <w:t xml:space="preserve"> which will increase its maximum admissible power flow and improve available capacities. Also, there is ongoing investigation of various possibilities to increase capacities for the TL 220 kV </w:t>
      </w:r>
      <w:proofErr w:type="spellStart"/>
      <w:r w:rsidRPr="73DEB3EB">
        <w:rPr>
          <w:rFonts w:eastAsia="Arial" w:cs="Arial"/>
        </w:rPr>
        <w:t>Pehlin</w:t>
      </w:r>
      <w:proofErr w:type="spellEnd"/>
      <w:r w:rsidRPr="73DEB3EB">
        <w:rPr>
          <w:rFonts w:eastAsia="Arial" w:cs="Arial"/>
        </w:rPr>
        <w:t xml:space="preserve"> – </w:t>
      </w:r>
      <w:proofErr w:type="spellStart"/>
      <w:r w:rsidRPr="73DEB3EB">
        <w:rPr>
          <w:rFonts w:eastAsia="Arial" w:cs="Arial"/>
        </w:rPr>
        <w:t>Divača</w:t>
      </w:r>
      <w:proofErr w:type="spellEnd"/>
      <w:r w:rsidRPr="73DEB3EB">
        <w:rPr>
          <w:rFonts w:eastAsia="Arial" w:cs="Arial"/>
        </w:rPr>
        <w:t>.</w:t>
      </w:r>
    </w:p>
    <w:p w:rsidR="006776F6" w:rsidP="73DEB3EB" w:rsidRDefault="73DEB3EB" w14:paraId="197CDA0D" w14:textId="7E988E5D">
      <w:r w:rsidRPr="73DEB3EB">
        <w:rPr>
          <w:rFonts w:eastAsia="Arial" w:cs="Arial"/>
        </w:rPr>
        <w:t xml:space="preserve"> </w:t>
      </w:r>
    </w:p>
    <w:p w:rsidR="006776F6" w:rsidP="73DEB3EB" w:rsidRDefault="73DEB3EB" w14:paraId="7C922D58" w14:textId="71698E0B">
      <w:r w:rsidRPr="73DEB3EB">
        <w:rPr>
          <w:rFonts w:eastAsia="Arial" w:cs="Arial"/>
        </w:rPr>
        <w:t xml:space="preserve">Since HOPS is surrounded by two non-Core countries with a strong influence of non-coordinated flows, any deviation from the target NP can create an </w:t>
      </w:r>
      <w:proofErr w:type="spellStart"/>
      <w:r w:rsidRPr="73DEB3EB">
        <w:rPr>
          <w:rFonts w:eastAsia="Arial" w:cs="Arial"/>
        </w:rPr>
        <w:t>overloadings</w:t>
      </w:r>
      <w:proofErr w:type="spellEnd"/>
      <w:r w:rsidRPr="73DEB3EB">
        <w:rPr>
          <w:rFonts w:eastAsia="Arial" w:cs="Arial"/>
        </w:rPr>
        <w:t xml:space="preserve"> with potential security risks. These flows are </w:t>
      </w:r>
      <w:proofErr w:type="gramStart"/>
      <w:r w:rsidRPr="73DEB3EB">
        <w:rPr>
          <w:rFonts w:eastAsia="Arial" w:cs="Arial"/>
        </w:rPr>
        <w:t>taken into account</w:t>
      </w:r>
      <w:proofErr w:type="gramEnd"/>
      <w:r w:rsidRPr="73DEB3EB">
        <w:rPr>
          <w:rFonts w:eastAsia="Arial" w:cs="Arial"/>
        </w:rPr>
        <w:t xml:space="preserve"> within the CGM with an influence on the final available margin (RAM), while during validation HOPS should guarantee available capacities of the internal grid affected by the exchanges between Core (Central) Europe and Western Balkan and/or SEE region. Since RCCs create CGMs with the net </w:t>
      </w:r>
      <w:proofErr w:type="spellStart"/>
      <w:r w:rsidRPr="73DEB3EB">
        <w:rPr>
          <w:rFonts w:eastAsia="Arial" w:cs="Arial"/>
        </w:rPr>
        <w:t>postion</w:t>
      </w:r>
      <w:proofErr w:type="spellEnd"/>
      <w:r w:rsidRPr="73DEB3EB">
        <w:rPr>
          <w:rFonts w:eastAsia="Arial" w:cs="Arial"/>
        </w:rPr>
        <w:t xml:space="preserve"> forecast (NPF) modelling, we expect that with NPF evolution and the increase of the quality of the D2CF CGMs deviations and uncertainties between forecast and realised power flows will be minimized, especially deviations of non-Core countries that are currently based on D-1 NPs.</w:t>
      </w:r>
    </w:p>
    <w:p w:rsidR="006776F6" w:rsidP="73DEB3EB" w:rsidRDefault="73DEB3EB" w14:paraId="03EB2C2F" w14:textId="3634E6A2">
      <w:r w:rsidRPr="73DEB3EB">
        <w:rPr>
          <w:rFonts w:eastAsia="Arial" w:cs="Arial"/>
        </w:rPr>
        <w:t xml:space="preserve"> </w:t>
      </w:r>
    </w:p>
    <w:p w:rsidR="006776F6" w:rsidP="73DEB3EB" w:rsidRDefault="73DEB3EB" w14:paraId="3052D19E" w14:textId="331F44D7">
      <w:r w:rsidRPr="73DEB3EB">
        <w:rPr>
          <w:rFonts w:eastAsia="Arial" w:cs="Arial"/>
        </w:rPr>
        <w:t>Improvements are also expected with upcoming important processes such as coordinated validation capacities and Regional Operational Security Coordination.</w:t>
      </w:r>
    </w:p>
    <w:p w:rsidR="006776F6" w:rsidP="73DEB3EB" w:rsidRDefault="006776F6" w14:paraId="17D8DDA7" w14:textId="30BF38BC">
      <w:pPr>
        <w:spacing w:after="200" w:line="276" w:lineRule="auto"/>
        <w:jc w:val="left"/>
        <w:rPr>
          <w:rFonts w:eastAsia="Arial" w:cs="Arial"/>
          <w:lang w:val="en-GB"/>
        </w:rPr>
      </w:pPr>
    </w:p>
    <w:p w:rsidRPr="00B74194" w:rsidR="03D1E99D" w:rsidP="00B74194" w:rsidRDefault="0A478607" w14:paraId="10797B3A" w14:textId="2A92EF3F">
      <w:pPr>
        <w:pStyle w:val="berschrift1"/>
      </w:pPr>
      <w:bookmarkStart w:name="_Toc1555774596" w:id="32"/>
      <w:r w:rsidRPr="00B74194">
        <w:t>MAVIR</w:t>
      </w:r>
      <w:bookmarkEnd w:id="32"/>
    </w:p>
    <w:p w:rsidR="006776F6" w:rsidP="006776F6" w:rsidRDefault="006776F6" w14:paraId="39C0B391" w14:textId="77777777">
      <w:pPr>
        <w:pStyle w:val="Listenabsatz"/>
        <w:numPr>
          <w:ilvl w:val="0"/>
          <w:numId w:val="20"/>
        </w:numPr>
        <w:tabs>
          <w:tab w:val="left" w:pos="720"/>
        </w:tabs>
        <w:rPr>
          <w:b/>
          <w:lang w:eastAsia="nl-NL"/>
        </w:rPr>
      </w:pPr>
      <w:bookmarkStart w:name="_Toc1906334026" w:id="33"/>
      <w:r>
        <w:rPr>
          <w:b/>
          <w:lang w:eastAsia="nl-NL"/>
        </w:rPr>
        <w:t>Explanation for the reductions applied by MAVIR in Q4, 2024</w:t>
      </w:r>
    </w:p>
    <w:p w:rsidR="006776F6" w:rsidP="006776F6" w:rsidRDefault="006776F6" w14:paraId="30B597FF" w14:textId="52A324F9">
      <w:pPr>
        <w:rPr>
          <w:lang w:eastAsia="nl-NL"/>
        </w:rPr>
      </w:pPr>
      <w:r>
        <w:rPr>
          <w:lang w:eastAsia="nl-NL"/>
        </w:rPr>
        <w:lastRenderedPageBreak/>
        <w:t xml:space="preserve">MAVIR performs the individual validation with the basic principle of determining CBCOs that can be potentially overloaded by a realistic market outcome. In case a CBCO which cannot be solved by available remedial actions from contingency analysis but selected to be potentially overloaded is identified, IVA with the objective of minimizing the loss of the flow-based domain volume is optimized and calculated </w:t>
      </w:r>
      <w:proofErr w:type="gramStart"/>
      <w:r>
        <w:rPr>
          <w:lang w:eastAsia="nl-NL"/>
        </w:rPr>
        <w:t>in order to</w:t>
      </w:r>
      <w:proofErr w:type="gramEnd"/>
      <w:r>
        <w:rPr>
          <w:lang w:eastAsia="nl-NL"/>
        </w:rPr>
        <w:t xml:space="preserve"> relieve the </w:t>
      </w:r>
      <w:r w:rsidRPr="006776F6">
        <w:rPr>
          <w:lang w:eastAsia="nl-NL"/>
        </w:rPr>
        <w:t>potential overload. In Q4, there were 33 business days with IVA applied to CBCOs by MAVIR due to two different factors. One is the pattern of significant power flows from import direction over the northern HU borders</w:t>
      </w:r>
      <w:r>
        <w:rPr>
          <w:lang w:eastAsia="nl-NL"/>
        </w:rPr>
        <w:t xml:space="preserve"> due to strong import energy need</w:t>
      </w:r>
      <w:r w:rsidRPr="006776F6">
        <w:rPr>
          <w:lang w:eastAsia="nl-NL"/>
        </w:rPr>
        <w:t xml:space="preserve"> in combination with planned special grid outage situation most of the time for which there is no other </w:t>
      </w:r>
      <w:proofErr w:type="gramStart"/>
      <w:r w:rsidRPr="006776F6">
        <w:rPr>
          <w:lang w:eastAsia="nl-NL"/>
        </w:rPr>
        <w:t>solution</w:t>
      </w:r>
      <w:proofErr w:type="gramEnd"/>
      <w:r w:rsidRPr="006776F6">
        <w:rPr>
          <w:lang w:eastAsia="nl-NL"/>
        </w:rPr>
        <w:t xml:space="preserve"> but IVA application and the other one is the application of IVA fallback due technical failure.</w:t>
      </w:r>
      <w:r>
        <w:rPr>
          <w:lang w:eastAsia="nl-NL"/>
        </w:rPr>
        <w:t xml:space="preserve"> There were 233 distinct hours (</w:t>
      </w:r>
      <w:r>
        <w:rPr>
          <w:rFonts w:eastAsia="Arial"/>
        </w:rPr>
        <w:t>or 10.55% of the 2209 MTUs</w:t>
      </w:r>
      <w:r>
        <w:rPr>
          <w:lang w:eastAsia="nl-NL"/>
        </w:rPr>
        <w:t>) with IVA application. There were 37 distinct hours with operational fallback IVA application which contributed to the amount of IVA in Q4. In total, 225 distinct hours, the CBCOs with IVAs were a domain limiting constraint. In total, there were 189 hours with active HU constraints, out of which there were 86 hours with non-zero IVA with the highest shadow price equal to 452 EUR/MW. There were 6 hours which did not fulfil the 20% minimum RAM requirement.</w:t>
      </w:r>
    </w:p>
    <w:p w:rsidR="006776F6" w:rsidP="006776F6" w:rsidRDefault="006776F6" w14:paraId="4194CEB4" w14:textId="77777777"/>
    <w:p w:rsidR="006776F6" w:rsidP="006776F6" w:rsidRDefault="006776F6" w14:paraId="04CAAAA8" w14:textId="77777777">
      <w:pPr>
        <w:rPr>
          <w:lang w:eastAsia="nl-NL"/>
        </w:rPr>
      </w:pPr>
    </w:p>
    <w:p w:rsidRPr="006776F6" w:rsidR="006776F6" w:rsidP="006776F6" w:rsidRDefault="006776F6" w14:paraId="6E01ABA5" w14:textId="77777777">
      <w:pPr>
        <w:spacing w:after="200"/>
        <w:rPr>
          <w:rFonts w:eastAsia="Arial" w:cs="Arial"/>
        </w:rPr>
      </w:pPr>
      <w:r w:rsidRPr="006776F6">
        <w:rPr>
          <w:rFonts w:eastAsia="Arial" w:cs="Arial"/>
        </w:rPr>
        <w:t xml:space="preserve">MAVIR aims to apply the following measures </w:t>
      </w:r>
      <w:proofErr w:type="gramStart"/>
      <w:r w:rsidRPr="006776F6">
        <w:rPr>
          <w:rFonts w:eastAsia="Arial" w:cs="Arial"/>
        </w:rPr>
        <w:t>in order to</w:t>
      </w:r>
      <w:proofErr w:type="gramEnd"/>
      <w:r w:rsidRPr="006776F6">
        <w:rPr>
          <w:rFonts w:eastAsia="Arial" w:cs="Arial"/>
        </w:rPr>
        <w:t xml:space="preserve"> minimize the application of IVAs and, as required by article 20(14)(b) and 20(15) DA CCM, avoid cross-zonal capacity reductions in the future:</w:t>
      </w:r>
    </w:p>
    <w:p w:rsidRPr="006776F6" w:rsidR="006776F6" w:rsidP="006776F6" w:rsidRDefault="006776F6" w14:paraId="5122D71F" w14:textId="77777777">
      <w:pPr>
        <w:numPr>
          <w:ilvl w:val="0"/>
          <w:numId w:val="21"/>
        </w:numPr>
        <w:rPr>
          <w:rFonts w:cs="Arial"/>
          <w:bCs/>
          <w:szCs w:val="22"/>
          <w:lang w:val="en-GB"/>
        </w:rPr>
      </w:pPr>
      <w:r w:rsidRPr="006776F6">
        <w:rPr>
          <w:rFonts w:cs="Arial"/>
          <w:bCs/>
          <w:szCs w:val="22"/>
          <w:lang w:val="en-GB"/>
        </w:rPr>
        <w:t xml:space="preserve">Consideration of effective topological remedial actions even for those hours in which the NRAO did not select them due to </w:t>
      </w:r>
      <w:proofErr w:type="spellStart"/>
      <w:r w:rsidRPr="006776F6">
        <w:rPr>
          <w:rFonts w:cs="Arial"/>
          <w:bCs/>
          <w:szCs w:val="22"/>
          <w:lang w:val="en-GB"/>
        </w:rPr>
        <w:t>loopflow</w:t>
      </w:r>
      <w:proofErr w:type="spellEnd"/>
      <w:r w:rsidRPr="006776F6">
        <w:rPr>
          <w:rFonts w:cs="Arial"/>
          <w:bCs/>
          <w:szCs w:val="22"/>
          <w:lang w:val="en-GB"/>
        </w:rPr>
        <w:t xml:space="preserve"> constraint violation, but the selection of RA would have mitigated the application of IVA amount.</w:t>
      </w:r>
    </w:p>
    <w:p w:rsidR="006776F6" w:rsidP="006776F6" w:rsidRDefault="006776F6" w14:paraId="40A3959B" w14:textId="77777777">
      <w:pPr>
        <w:rPr>
          <w:rFonts w:eastAsia="Arial"/>
        </w:rPr>
      </w:pPr>
      <w:r w:rsidRPr="006776F6">
        <w:rPr>
          <w:rFonts w:cs="Arial"/>
          <w:bCs/>
          <w:szCs w:val="22"/>
          <w:lang w:val="en-GB"/>
        </w:rPr>
        <w:t xml:space="preserve">Based on growing operational experience, methodological improvement in the IVA calculation by excluding areas of the domain in which the concerned overloaded element to the amount of IVA is less sensitive. </w:t>
      </w:r>
      <w:r w:rsidRPr="006776F6">
        <w:rPr>
          <w:rFonts w:cs="Arial"/>
          <w:bCs/>
          <w:szCs w:val="22"/>
          <w:lang w:val="en-GB" w:eastAsia="nl-NL"/>
        </w:rPr>
        <w:t xml:space="preserve">Note that the operational experience also shows better judgement of IVA applications as to </w:t>
      </w:r>
      <w:r w:rsidRPr="006776F6">
        <w:rPr>
          <w:rFonts w:eastAsia="Arial" w:cs="Arial"/>
          <w:bCs/>
        </w:rPr>
        <w:t>the trade-off between operational security and offered capacities.</w:t>
      </w:r>
    </w:p>
    <w:p w:rsidR="00E313E3" w:rsidP="00E313E3" w:rsidRDefault="00E313E3" w14:paraId="0C626548" w14:textId="77777777">
      <w:pPr>
        <w:pStyle w:val="berschrift1"/>
        <w:numPr>
          <w:ilvl w:val="0"/>
          <w:numId w:val="0"/>
        </w:numPr>
        <w:rPr>
          <w:rFonts w:eastAsia="Arial"/>
        </w:rPr>
      </w:pPr>
    </w:p>
    <w:p w:rsidR="00E313E3" w:rsidP="00E313E3" w:rsidRDefault="00E313E3" w14:paraId="263F0359" w14:textId="77777777">
      <w:pPr>
        <w:pStyle w:val="berschrift1"/>
        <w:numPr>
          <w:ilvl w:val="0"/>
          <w:numId w:val="0"/>
        </w:numPr>
        <w:rPr>
          <w:rFonts w:eastAsia="Arial"/>
        </w:rPr>
      </w:pPr>
    </w:p>
    <w:p w:rsidR="00E313E3" w:rsidP="41BDB3BC" w:rsidRDefault="00E313E3" w14:paraId="0BC2A6A2" w14:textId="48E0F421">
      <w:pPr>
        <w:pStyle w:val="berschrift1"/>
        <w:rPr/>
      </w:pPr>
      <w:r w:rsidR="41BDB3BC">
        <w:rPr/>
        <w:t>PSE</w:t>
      </w:r>
      <w:bookmarkEnd w:id="33"/>
    </w:p>
    <w:p w:rsidR="00E313E3" w:rsidP="191B10EE" w:rsidRDefault="191B10EE" w14:paraId="47A18CC2" w14:textId="78CD6098">
      <w:r w:rsidRPr="191B10EE">
        <w:rPr>
          <w:rFonts w:eastAsia="Arial" w:cs="Arial"/>
          <w:b/>
          <w:bCs/>
          <w:color w:val="000000" w:themeColor="text1"/>
        </w:rPr>
        <w:t>7.1 General measures to avoid cross-zonal capacity reductions in the future, as per Art. 20(14)(b) of DA CCM</w:t>
      </w:r>
      <w:r w:rsidRPr="191B10EE">
        <w:rPr>
          <w:rFonts w:eastAsia="Arial" w:cs="Arial"/>
          <w:lang w:val="en-GB"/>
        </w:rPr>
        <w:t>:</w:t>
      </w:r>
    </w:p>
    <w:p w:rsidR="00E313E3" w:rsidP="191B10EE" w:rsidRDefault="191B10EE" w14:paraId="1209C4A2" w14:textId="47523C8C">
      <w:pPr>
        <w:pStyle w:val="Listenabsatz"/>
        <w:rPr>
          <w:rFonts w:eastAsia="Arial"/>
          <w:szCs w:val="20"/>
        </w:rPr>
      </w:pPr>
      <w:r w:rsidRPr="191B10EE">
        <w:rPr>
          <w:rFonts w:eastAsia="Arial"/>
          <w:szCs w:val="20"/>
        </w:rPr>
        <w:t>PSE is taken under consideration: long-, medium- and short-term measures to prevent capacity reduction.</w:t>
      </w:r>
    </w:p>
    <w:p w:rsidR="00E313E3" w:rsidP="191B10EE" w:rsidRDefault="191B10EE" w14:paraId="003BCB58" w14:textId="1BB6922B">
      <w:pPr>
        <w:pStyle w:val="Listenabsatz"/>
        <w:rPr>
          <w:rFonts w:eastAsia="Arial"/>
          <w:szCs w:val="20"/>
        </w:rPr>
      </w:pPr>
      <w:r w:rsidRPr="191B10EE">
        <w:rPr>
          <w:rFonts w:eastAsia="Arial"/>
          <w:szCs w:val="20"/>
        </w:rPr>
        <w:t xml:space="preserve">Generally, the main source of improvements will be grid developments, as prescribed in the Action Plan and as foreseen in the Grid Development Plan. </w:t>
      </w:r>
    </w:p>
    <w:p w:rsidR="00E313E3" w:rsidP="191B10EE" w:rsidRDefault="191B10EE" w14:paraId="79825B57" w14:textId="246964F7">
      <w:pPr>
        <w:pStyle w:val="Listenabsatz"/>
        <w:rPr>
          <w:rFonts w:eastAsia="Arial"/>
          <w:szCs w:val="20"/>
        </w:rPr>
      </w:pPr>
      <w:r w:rsidRPr="191B10EE">
        <w:rPr>
          <w:rFonts w:eastAsia="Arial"/>
          <w:szCs w:val="20"/>
        </w:rPr>
        <w:t xml:space="preserve">In medium PSE is investigating dynamic monitoring of the lines, which increase the line rating. </w:t>
      </w:r>
    </w:p>
    <w:p w:rsidR="00E313E3" w:rsidP="191B10EE" w:rsidRDefault="191B10EE" w14:paraId="417793FE" w14:textId="1B2483A4">
      <w:pPr>
        <w:pStyle w:val="Listenabsatz"/>
        <w:rPr>
          <w:rFonts w:eastAsia="Arial"/>
          <w:color w:val="000000" w:themeColor="text1"/>
          <w:szCs w:val="20"/>
        </w:rPr>
      </w:pPr>
      <w:r w:rsidRPr="191B10EE">
        <w:rPr>
          <w:rFonts w:eastAsia="Arial"/>
          <w:szCs w:val="20"/>
        </w:rPr>
        <w:t>As the short-term measures, PSE implemented parametrization of the validation tool, which potentially leading to avoiding application of low IVA values (so that IVAs will be less frequent).  Additional propose was to include in individual validation topological remedial actions.</w:t>
      </w:r>
      <w:r w:rsidRPr="191B10EE">
        <w:rPr>
          <w:rFonts w:eastAsia="Arial"/>
          <w:color w:val="000000" w:themeColor="text1"/>
          <w:szCs w:val="20"/>
        </w:rPr>
        <w:t xml:space="preserve"> In its </w:t>
      </w:r>
      <w:r w:rsidRPr="191B10EE">
        <w:rPr>
          <w:rFonts w:eastAsia="Arial"/>
          <w:color w:val="000000" w:themeColor="text1"/>
          <w:szCs w:val="20"/>
        </w:rPr>
        <w:lastRenderedPageBreak/>
        <w:t>individual validation, PSE also plan to test only technically feasible scenarios (set of Core NPs) - tool improvement planned for Q1 2025.</w:t>
      </w:r>
    </w:p>
    <w:p w:rsidR="00E313E3" w:rsidP="191B10EE" w:rsidRDefault="191B10EE" w14:paraId="04E5B8C7" w14:textId="4C751C1A">
      <w:pPr>
        <w:pStyle w:val="Listenabsatz"/>
        <w:rPr>
          <w:rFonts w:eastAsia="Arial"/>
          <w:szCs w:val="20"/>
        </w:rPr>
      </w:pPr>
      <w:r w:rsidRPr="41BDB3BC" w:rsidR="41BDB3BC">
        <w:rPr>
          <w:rFonts w:eastAsia="Arial"/>
        </w:rPr>
        <w:t xml:space="preserve">In some </w:t>
      </w:r>
      <w:r w:rsidRPr="41BDB3BC" w:rsidR="41BDB3BC">
        <w:rPr>
          <w:rFonts w:eastAsia="Arial"/>
        </w:rPr>
        <w:t>cases</w:t>
      </w:r>
      <w:r w:rsidRPr="41BDB3BC" w:rsidR="41BDB3BC">
        <w:rPr>
          <w:rFonts w:eastAsia="Arial"/>
        </w:rPr>
        <w:t xml:space="preserve"> the IVA was implemented in specific maintenance situation, this will be only temporary and additional investigation are not foreseen,</w:t>
      </w:r>
    </w:p>
    <w:p w:rsidR="41BDB3BC" w:rsidP="41BDB3BC" w:rsidRDefault="41BDB3BC" w14:paraId="2814CE1D" w14:textId="2C98A90B">
      <w:pPr>
        <w:pStyle w:val="Listenabsatz"/>
        <w:numPr>
          <w:ilvl w:val="0"/>
          <w:numId w:val="0"/>
        </w:numPr>
        <w:spacing w:after="0" w:line="312" w:lineRule="auto"/>
        <w:ind w:left="720"/>
        <w:jc w:val="both"/>
        <w:rPr>
          <w:rFonts w:ascii="Arial" w:hAnsi="Arial" w:eastAsia="Arial" w:cs="Arial"/>
          <w:b w:val="1"/>
          <w:bCs w:val="1"/>
          <w:i w:val="0"/>
          <w:iCs w:val="0"/>
          <w:noProof w:val="0"/>
          <w:sz w:val="20"/>
          <w:szCs w:val="20"/>
          <w:lang w:val="en-IE"/>
        </w:rPr>
      </w:pPr>
    </w:p>
    <w:p w:rsidR="41BDB3BC" w:rsidP="41BDB3BC" w:rsidRDefault="41BDB3BC" w14:paraId="6E2343CB" w14:textId="61423B0C">
      <w:pPr>
        <w:pStyle w:val="Standard"/>
        <w:spacing w:after="0" w:line="312" w:lineRule="auto"/>
        <w:ind w:left="0"/>
        <w:jc w:val="both"/>
        <w:rPr>
          <w:rFonts w:ascii="Arial" w:hAnsi="Arial" w:eastAsia="Arial" w:cs="Arial"/>
          <w:b w:val="0"/>
          <w:bCs w:val="0"/>
          <w:i w:val="0"/>
          <w:iCs w:val="0"/>
          <w:noProof w:val="0"/>
          <w:color w:val="000000" w:themeColor="text1" w:themeTint="FF" w:themeShade="FF"/>
          <w:sz w:val="20"/>
          <w:szCs w:val="20"/>
          <w:lang w:val="en-GB"/>
        </w:rPr>
      </w:pPr>
      <w:r w:rsidRPr="41BDB3BC" w:rsidR="41BDB3BC">
        <w:rPr>
          <w:rFonts w:ascii="Arial" w:hAnsi="Arial" w:eastAsia="Arial" w:cs="Arial"/>
          <w:b w:val="0"/>
          <w:bCs w:val="0"/>
          <w:i w:val="0"/>
          <w:iCs w:val="0"/>
          <w:noProof w:val="0"/>
          <w:sz w:val="20"/>
          <w:szCs w:val="20"/>
          <w:lang w:val="en-GB"/>
        </w:rPr>
        <w:t xml:space="preserve"> </w:t>
      </w:r>
      <w:r w:rsidRPr="41BDB3BC" w:rsidR="41BDB3BC">
        <w:rPr>
          <w:rFonts w:ascii="Arial" w:hAnsi="Arial" w:eastAsia="Arial" w:cs="Arial"/>
          <w:b w:val="1"/>
          <w:bCs w:val="1"/>
          <w:i w:val="0"/>
          <w:iCs w:val="0"/>
          <w:noProof w:val="0"/>
          <w:sz w:val="20"/>
          <w:szCs w:val="20"/>
          <w:lang w:val="en-GB"/>
        </w:rPr>
        <w:t>7.2 Detailed report and action plan describing how such deviations are expected to be alleviated and solved in the future.</w:t>
      </w:r>
    </w:p>
    <w:p w:rsidR="41BDB3BC" w:rsidP="41BDB3BC" w:rsidRDefault="41BDB3BC" w14:paraId="3DC5FA19" w14:textId="09DADB09">
      <w:pPr>
        <w:pStyle w:val="Standard"/>
        <w:spacing w:after="0" w:line="312" w:lineRule="auto"/>
        <w:ind w:left="0"/>
        <w:jc w:val="both"/>
        <w:rPr>
          <w:rFonts w:ascii="Arial" w:hAnsi="Arial" w:eastAsia="Arial" w:cs="Arial"/>
          <w:b w:val="0"/>
          <w:bCs w:val="0"/>
          <w:i w:val="0"/>
          <w:iCs w:val="0"/>
          <w:noProof w:val="0"/>
          <w:color w:val="000000" w:themeColor="text1" w:themeTint="FF" w:themeShade="FF"/>
          <w:sz w:val="20"/>
          <w:szCs w:val="20"/>
          <w:lang w:val="en-GB"/>
        </w:rPr>
      </w:pPr>
      <w:r w:rsidRPr="41BDB3BC" w:rsidR="41BDB3BC">
        <w:rPr>
          <w:rFonts w:ascii="Arial" w:hAnsi="Arial" w:eastAsia="Arial" w:cs="Arial"/>
          <w:b w:val="0"/>
          <w:bCs w:val="0"/>
          <w:i w:val="0"/>
          <w:iCs w:val="0"/>
          <w:noProof w:val="0"/>
          <w:color w:val="000000" w:themeColor="text1" w:themeTint="FF" w:themeShade="FF"/>
          <w:sz w:val="20"/>
          <w:szCs w:val="20"/>
          <w:lang w:val="en-IE"/>
        </w:rPr>
        <w:t>PSE reduced capacity for its CNECs in less than 1 % of DA CC MTUs of the analysed quarter, detailed report and action plan are not provided hence.</w:t>
      </w:r>
    </w:p>
    <w:p w:rsidRPr="00B74194" w:rsidR="03D1E99D" w:rsidP="00B74194" w:rsidRDefault="0A478607" w14:paraId="333C1E08" w14:textId="16DEF81A">
      <w:pPr>
        <w:pStyle w:val="berschrift1"/>
        <w:rPr/>
      </w:pPr>
      <w:bookmarkStart w:name="_Toc579083683" w:id="34"/>
      <w:r w:rsidR="68140543">
        <w:rPr/>
        <w:t>RTE</w:t>
      </w:r>
      <w:bookmarkEnd w:id="34"/>
    </w:p>
    <w:p w:rsidR="68140543" w:rsidP="68140543" w:rsidRDefault="68140543" w14:paraId="6302AD3F" w14:textId="334A62AC">
      <w:pPr>
        <w:pStyle w:val="Standard"/>
        <w:suppressLineNumbers w:val="0"/>
        <w:bidi w:val="0"/>
        <w:spacing w:before="0" w:beforeAutospacing="off" w:after="0" w:afterAutospacing="off" w:line="312" w:lineRule="auto"/>
        <w:ind w:left="0" w:right="0"/>
        <w:jc w:val="both"/>
      </w:pPr>
      <w:r w:rsidRPr="68140543" w:rsidR="68140543">
        <w:rPr>
          <w:rFonts w:ascii="Arial" w:hAnsi="Arial" w:eastAsia="Arial" w:cs="Arial"/>
          <w:noProof w:val="0"/>
          <w:color w:val="000000" w:themeColor="text1" w:themeTint="FF" w:themeShade="FF"/>
          <w:sz w:val="20"/>
          <w:szCs w:val="20"/>
          <w:lang w:val="en-GB"/>
        </w:rPr>
        <w:t>RTE is currently improving his validation tool by integrating RAO function.</w:t>
      </w:r>
    </w:p>
    <w:p w:rsidR="68140543" w:rsidP="68140543" w:rsidRDefault="68140543" w14:paraId="47BF7CB5" w14:textId="19BB8585">
      <w:pPr>
        <w:pStyle w:val="Standard"/>
        <w:suppressLineNumbers w:val="0"/>
        <w:bidi w:val="0"/>
        <w:spacing w:before="0" w:beforeAutospacing="off" w:after="0" w:afterAutospacing="off" w:line="312" w:lineRule="auto"/>
        <w:ind w:left="0" w:right="0"/>
        <w:jc w:val="both"/>
        <w:rPr>
          <w:rFonts w:ascii="Arial" w:hAnsi="Arial" w:eastAsia="Arial" w:cs="Arial"/>
          <w:noProof w:val="0"/>
          <w:color w:val="000000" w:themeColor="text1" w:themeTint="FF" w:themeShade="FF"/>
          <w:sz w:val="20"/>
          <w:szCs w:val="20"/>
          <w:lang w:val="en-GB"/>
        </w:rPr>
      </w:pPr>
      <w:r w:rsidRPr="7DFF9D3E" w:rsidR="7DFF9D3E">
        <w:rPr>
          <w:rFonts w:ascii="Arial" w:hAnsi="Arial" w:eastAsia="Arial" w:cs="Arial"/>
          <w:noProof w:val="0"/>
          <w:color w:val="000000" w:themeColor="text1" w:themeTint="FF" w:themeShade="FF"/>
          <w:sz w:val="20"/>
          <w:szCs w:val="20"/>
          <w:lang w:val="en-GB"/>
        </w:rPr>
        <w:t>Release is plan Q4 2025</w:t>
      </w:r>
    </w:p>
    <w:p w:rsidR="00E313E3" w:rsidP="00E313E3" w:rsidRDefault="00E313E3" w14:paraId="1DD00889" w14:textId="77777777">
      <w:pPr>
        <w:rPr>
          <w:lang w:val="en-GB" w:eastAsia="nl-NL"/>
        </w:rPr>
      </w:pPr>
    </w:p>
    <w:p w:rsidRPr="00E313E3" w:rsidR="00E313E3" w:rsidP="00E313E3" w:rsidRDefault="00E313E3" w14:paraId="74C78323" w14:textId="77777777">
      <w:pPr>
        <w:rPr>
          <w:lang w:val="en-GB" w:eastAsia="nl-NL"/>
        </w:rPr>
      </w:pPr>
    </w:p>
    <w:p w:rsidRPr="00B74194" w:rsidR="03D1E99D" w:rsidP="00B74194" w:rsidRDefault="0A478607" w14:paraId="0E9D2081" w14:textId="6AE2A578">
      <w:pPr>
        <w:pStyle w:val="berschrift1"/>
      </w:pPr>
      <w:bookmarkStart w:name="_Toc1500475684" w:id="35"/>
      <w:r w:rsidRPr="00B74194">
        <w:t>SEPS</w:t>
      </w:r>
      <w:bookmarkEnd w:id="35"/>
    </w:p>
    <w:p w:rsidR="00E313E3" w:rsidP="00E313E3" w:rsidRDefault="00E313E3" w14:paraId="62989BFB" w14:textId="77777777">
      <w:pPr>
        <w:rPr>
          <w:lang w:val="en-GB" w:eastAsia="nl-NL"/>
        </w:rPr>
      </w:pPr>
    </w:p>
    <w:p w:rsidR="00E313E3" w:rsidP="56DEF930" w:rsidRDefault="00E313E3" w14:paraId="1109BDCA" w14:textId="0DADB36C">
      <w:pPr>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GB"/>
        </w:rPr>
      </w:pPr>
      <w:r w:rsidRPr="56DEF930" w:rsidR="56DEF930">
        <w:rPr>
          <w:rFonts w:ascii="Arial" w:hAnsi="Arial" w:eastAsia="Arial" w:cs="Arial"/>
          <w:b w:val="0"/>
          <w:bCs w:val="0"/>
          <w:i w:val="0"/>
          <w:iCs w:val="0"/>
          <w:caps w:val="0"/>
          <w:smallCaps w:val="0"/>
          <w:noProof w:val="0"/>
          <w:color w:val="000000" w:themeColor="text1" w:themeTint="FF" w:themeShade="FF"/>
          <w:sz w:val="20"/>
          <w:szCs w:val="20"/>
          <w:lang w:val="en-US"/>
        </w:rPr>
        <w:t xml:space="preserve">The application of IVA was in Q4 for 7.37% of the </w:t>
      </w:r>
      <w:r w:rsidRPr="56DEF930" w:rsidR="56DEF930">
        <w:rPr>
          <w:rFonts w:ascii="Arial" w:hAnsi="Arial" w:eastAsia="Arial" w:cs="Arial"/>
          <w:b w:val="0"/>
          <w:bCs w:val="0"/>
          <w:i w:val="0"/>
          <w:iCs w:val="0"/>
          <w:caps w:val="0"/>
          <w:smallCaps w:val="0"/>
          <w:noProof w:val="0"/>
          <w:color w:val="000000" w:themeColor="text1" w:themeTint="FF" w:themeShade="FF"/>
          <w:sz w:val="20"/>
          <w:szCs w:val="20"/>
          <w:lang w:val="en-US"/>
        </w:rPr>
        <w:t>hours.</w:t>
      </w:r>
      <w:r w:rsidRPr="56DEF930" w:rsidR="56DEF930">
        <w:rPr>
          <w:rFonts w:ascii="Arial" w:hAnsi="Arial" w:eastAsia="Arial" w:cs="Arial"/>
          <w:b w:val="0"/>
          <w:bCs w:val="0"/>
          <w:i w:val="0"/>
          <w:iCs w:val="0"/>
          <w:caps w:val="0"/>
          <w:smallCaps w:val="0"/>
          <w:noProof w:val="0"/>
          <w:color w:val="000000" w:themeColor="text1" w:themeTint="FF" w:themeShade="FF"/>
          <w:sz w:val="20"/>
          <w:szCs w:val="20"/>
          <w:lang w:val="en-US"/>
        </w:rPr>
        <w:t xml:space="preserve"> The reductions were mainly applied in the June due to the high forecasted transit flows and IVA is most frequently applied for the following elements:</w:t>
      </w:r>
    </w:p>
    <w:p w:rsidR="00E313E3" w:rsidP="56DEF930" w:rsidRDefault="00E313E3" w14:paraId="0086AD92" w14:textId="072F8043">
      <w:pPr>
        <w:spacing w:after="0" w:line="312" w:lineRule="auto"/>
        <w:jc w:val="both"/>
        <w:rPr>
          <w:rFonts w:ascii="Calibri" w:hAnsi="Calibri" w:eastAsia="Calibri" w:cs="Calibri"/>
          <w:b w:val="0"/>
          <w:bCs w:val="0"/>
          <w:i w:val="0"/>
          <w:iCs w:val="0"/>
          <w:caps w:val="0"/>
          <w:smallCaps w:val="0"/>
          <w:noProof w:val="0"/>
          <w:color w:val="000000" w:themeColor="text1" w:themeTint="FF" w:themeShade="FF"/>
          <w:sz w:val="22"/>
          <w:szCs w:val="22"/>
          <w:lang w:val="en-GB"/>
        </w:rPr>
      </w:pPr>
      <w:r w:rsidRPr="56DEF930" w:rsidR="56DEF93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[SK-HU] </w:t>
      </w:r>
      <w:proofErr w:type="spellStart"/>
      <w:r w:rsidRPr="56DEF930" w:rsidR="56DEF930">
        <w:rPr>
          <w:rFonts w:ascii="Calibri" w:hAnsi="Calibri" w:eastAsia="Calibri" w:cs="Calibri"/>
          <w:b w:val="0"/>
          <w:bCs w:val="0"/>
          <w:i w:val="0"/>
          <w:iCs w:val="0"/>
          <w:caps w:val="0"/>
          <w:smallCaps w:val="0"/>
          <w:noProof w:val="0"/>
          <w:color w:val="000000" w:themeColor="text1" w:themeTint="FF" w:themeShade="FF"/>
          <w:sz w:val="22"/>
          <w:szCs w:val="22"/>
          <w:lang w:val="en-US"/>
        </w:rPr>
        <w:t>Levice</w:t>
      </w:r>
      <w:proofErr w:type="spellEnd"/>
      <w:r w:rsidRPr="56DEF930" w:rsidR="56DEF93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 God [DIR] [SK]/ N-1 </w:t>
      </w:r>
      <w:proofErr w:type="spellStart"/>
      <w:r w:rsidRPr="56DEF930" w:rsidR="56DEF930">
        <w:rPr>
          <w:rFonts w:ascii="Calibri" w:hAnsi="Calibri" w:eastAsia="Calibri" w:cs="Calibri"/>
          <w:b w:val="0"/>
          <w:bCs w:val="0"/>
          <w:i w:val="0"/>
          <w:iCs w:val="0"/>
          <w:caps w:val="0"/>
          <w:smallCaps w:val="0"/>
          <w:noProof w:val="0"/>
          <w:color w:val="000000" w:themeColor="text1" w:themeTint="FF" w:themeShade="FF"/>
          <w:sz w:val="22"/>
          <w:szCs w:val="22"/>
          <w:lang w:val="en-US"/>
        </w:rPr>
        <w:t>R.Sobota</w:t>
      </w:r>
      <w:proofErr w:type="spellEnd"/>
      <w:r w:rsidRPr="56DEF930" w:rsidR="56DEF93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 </w:t>
      </w:r>
      <w:proofErr w:type="spellStart"/>
      <w:r w:rsidRPr="56DEF930" w:rsidR="56DEF930">
        <w:rPr>
          <w:rFonts w:ascii="Calibri" w:hAnsi="Calibri" w:eastAsia="Calibri" w:cs="Calibri"/>
          <w:b w:val="0"/>
          <w:bCs w:val="0"/>
          <w:i w:val="0"/>
          <w:iCs w:val="0"/>
          <w:caps w:val="0"/>
          <w:smallCaps w:val="0"/>
          <w:noProof w:val="0"/>
          <w:color w:val="000000" w:themeColor="text1" w:themeTint="FF" w:themeShade="FF"/>
          <w:sz w:val="22"/>
          <w:szCs w:val="22"/>
          <w:lang w:val="en-US"/>
        </w:rPr>
        <w:t>Sajoivanka</w:t>
      </w:r>
      <w:proofErr w:type="spellEnd"/>
    </w:p>
    <w:p w:rsidR="00E313E3" w:rsidP="56DEF930" w:rsidRDefault="00E313E3" w14:paraId="51603FFB" w14:textId="4D40CFD8">
      <w:pPr>
        <w:spacing w:after="0" w:line="312" w:lineRule="auto"/>
        <w:jc w:val="both"/>
        <w:rPr>
          <w:rFonts w:ascii="Calibri" w:hAnsi="Calibri" w:eastAsia="Calibri" w:cs="Calibri"/>
          <w:b w:val="0"/>
          <w:bCs w:val="0"/>
          <w:i w:val="0"/>
          <w:iCs w:val="0"/>
          <w:caps w:val="0"/>
          <w:smallCaps w:val="0"/>
          <w:noProof w:val="0"/>
          <w:color w:val="000000" w:themeColor="text1" w:themeTint="FF" w:themeShade="FF"/>
          <w:sz w:val="22"/>
          <w:szCs w:val="22"/>
          <w:lang w:val="en-GB"/>
        </w:rPr>
      </w:pPr>
      <w:r w:rsidRPr="56DEF930" w:rsidR="56DEF93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[SK-HU] </w:t>
      </w:r>
      <w:proofErr w:type="spellStart"/>
      <w:r w:rsidRPr="56DEF930" w:rsidR="56DEF930">
        <w:rPr>
          <w:rFonts w:ascii="Calibri" w:hAnsi="Calibri" w:eastAsia="Calibri" w:cs="Calibri"/>
          <w:b w:val="0"/>
          <w:bCs w:val="0"/>
          <w:i w:val="0"/>
          <w:iCs w:val="0"/>
          <w:caps w:val="0"/>
          <w:smallCaps w:val="0"/>
          <w:noProof w:val="0"/>
          <w:color w:val="000000" w:themeColor="text1" w:themeTint="FF" w:themeShade="FF"/>
          <w:sz w:val="22"/>
          <w:szCs w:val="22"/>
          <w:lang w:val="en-US"/>
        </w:rPr>
        <w:t>Levice</w:t>
      </w:r>
      <w:proofErr w:type="spellEnd"/>
      <w:r w:rsidRPr="56DEF930" w:rsidR="56DEF93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 God [DIR] [SK]/ N-1 </w:t>
      </w:r>
      <w:proofErr w:type="spellStart"/>
      <w:r w:rsidRPr="56DEF930" w:rsidR="56DEF930">
        <w:rPr>
          <w:rFonts w:ascii="Calibri" w:hAnsi="Calibri" w:eastAsia="Calibri" w:cs="Calibri"/>
          <w:b w:val="0"/>
          <w:bCs w:val="0"/>
          <w:i w:val="0"/>
          <w:iCs w:val="0"/>
          <w:caps w:val="0"/>
          <w:smallCaps w:val="0"/>
          <w:noProof w:val="0"/>
          <w:color w:val="000000" w:themeColor="text1" w:themeTint="FF" w:themeShade="FF"/>
          <w:sz w:val="22"/>
          <w:szCs w:val="22"/>
          <w:lang w:val="en-US"/>
        </w:rPr>
        <w:t>R.Sobota</w:t>
      </w:r>
      <w:proofErr w:type="spellEnd"/>
      <w:r w:rsidRPr="56DEF930" w:rsidR="56DEF93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 Levice</w:t>
      </w:r>
    </w:p>
    <w:p w:rsidR="00E313E3" w:rsidP="56DEF930" w:rsidRDefault="00E313E3" w14:paraId="19CF8C53" w14:textId="50228FBE">
      <w:pPr>
        <w:spacing w:after="0" w:line="312" w:lineRule="auto"/>
        <w:jc w:val="both"/>
        <w:rPr>
          <w:rFonts w:ascii="Calibri" w:hAnsi="Calibri" w:eastAsia="Calibri" w:cs="Calibri"/>
          <w:b w:val="0"/>
          <w:bCs w:val="0"/>
          <w:i w:val="0"/>
          <w:iCs w:val="0"/>
          <w:caps w:val="0"/>
          <w:smallCaps w:val="0"/>
          <w:noProof w:val="0"/>
          <w:color w:val="000000" w:themeColor="text1" w:themeTint="FF" w:themeShade="FF"/>
          <w:sz w:val="22"/>
          <w:szCs w:val="22"/>
          <w:lang w:val="en-GB"/>
        </w:rPr>
      </w:pPr>
      <w:r w:rsidRPr="56DEF930" w:rsidR="56DEF930">
        <w:rPr>
          <w:rFonts w:ascii="Calibri" w:hAnsi="Calibri" w:eastAsia="Calibri" w:cs="Calibri"/>
          <w:b w:val="0"/>
          <w:bCs w:val="0"/>
          <w:i w:val="0"/>
          <w:iCs w:val="0"/>
          <w:caps w:val="0"/>
          <w:smallCaps w:val="0"/>
          <w:noProof w:val="0"/>
          <w:color w:val="000000" w:themeColor="text1" w:themeTint="FF" w:themeShade="FF"/>
          <w:sz w:val="22"/>
          <w:szCs w:val="22"/>
          <w:lang w:val="fr-FR"/>
        </w:rPr>
        <w:t xml:space="preserve">[SK-SK] </w:t>
      </w:r>
      <w:proofErr w:type="spellStart"/>
      <w:r w:rsidRPr="56DEF930" w:rsidR="56DEF930">
        <w:rPr>
          <w:rFonts w:ascii="Calibri" w:hAnsi="Calibri" w:eastAsia="Calibri" w:cs="Calibri"/>
          <w:b w:val="0"/>
          <w:bCs w:val="0"/>
          <w:i w:val="0"/>
          <w:iCs w:val="0"/>
          <w:caps w:val="0"/>
          <w:smallCaps w:val="0"/>
          <w:noProof w:val="0"/>
          <w:color w:val="000000" w:themeColor="text1" w:themeTint="FF" w:themeShade="FF"/>
          <w:sz w:val="22"/>
          <w:szCs w:val="22"/>
          <w:lang w:val="fr-FR"/>
        </w:rPr>
        <w:t>V.Dur</w:t>
      </w:r>
      <w:proofErr w:type="spellEnd"/>
      <w:r w:rsidRPr="56DEF930" w:rsidR="56DEF930">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 Levice 1 [DIR]/ N-1 </w:t>
      </w:r>
      <w:proofErr w:type="spellStart"/>
      <w:r w:rsidRPr="56DEF930" w:rsidR="56DEF930">
        <w:rPr>
          <w:rFonts w:ascii="Calibri" w:hAnsi="Calibri" w:eastAsia="Calibri" w:cs="Calibri"/>
          <w:b w:val="0"/>
          <w:bCs w:val="0"/>
          <w:i w:val="0"/>
          <w:iCs w:val="0"/>
          <w:caps w:val="0"/>
          <w:smallCaps w:val="0"/>
          <w:noProof w:val="0"/>
          <w:color w:val="000000" w:themeColor="text1" w:themeTint="FF" w:themeShade="FF"/>
          <w:sz w:val="22"/>
          <w:szCs w:val="22"/>
          <w:lang w:val="fr-FR"/>
        </w:rPr>
        <w:t>V.Dur</w:t>
      </w:r>
      <w:proofErr w:type="spellEnd"/>
      <w:r w:rsidRPr="56DEF930" w:rsidR="56DEF930">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 Levice 2</w:t>
      </w:r>
    </w:p>
    <w:p w:rsidR="00E313E3" w:rsidP="56DEF930" w:rsidRDefault="00E313E3" w14:paraId="24A29EF0" w14:textId="07B5BC37">
      <w:pPr>
        <w:pStyle w:val="Standard"/>
        <w:spacing w:after="0" w:line="312" w:lineRule="auto"/>
        <w:jc w:val="center"/>
      </w:pPr>
      <w:r>
        <w:drawing>
          <wp:inline wp14:editId="5B0AF452" wp14:anchorId="0DCBBCEF">
            <wp:extent cx="3021092" cy="2412000"/>
            <wp:effectExtent l="0" t="0" r="0" b="0"/>
            <wp:docPr id="887608933" name="" title=""/>
            <wp:cNvGraphicFramePr>
              <a:graphicFrameLocks noChangeAspect="1"/>
            </wp:cNvGraphicFramePr>
            <a:graphic>
              <a:graphicData uri="http://schemas.openxmlformats.org/drawingml/2006/picture">
                <pic:pic>
                  <pic:nvPicPr>
                    <pic:cNvPr id="0" name=""/>
                    <pic:cNvPicPr/>
                  </pic:nvPicPr>
                  <pic:blipFill>
                    <a:blip r:embed="R0cc0ae57bb5741e5">
                      <a:extLst>
                        <a:ext xmlns:a="http://schemas.openxmlformats.org/drawingml/2006/main" uri="{28A0092B-C50C-407E-A947-70E740481C1C}">
                          <a14:useLocalDpi val="0"/>
                        </a:ext>
                      </a:extLst>
                    </a:blip>
                    <a:stretch>
                      <a:fillRect/>
                    </a:stretch>
                  </pic:blipFill>
                  <pic:spPr>
                    <a:xfrm>
                      <a:off x="0" y="0"/>
                      <a:ext cx="3021092" cy="2412000"/>
                    </a:xfrm>
                    <a:prstGeom prst="rect">
                      <a:avLst/>
                    </a:prstGeom>
                  </pic:spPr>
                </pic:pic>
              </a:graphicData>
            </a:graphic>
          </wp:inline>
        </w:drawing>
      </w:r>
    </w:p>
    <w:p w:rsidR="00E313E3" w:rsidP="56DEF930" w:rsidRDefault="00E313E3" w14:paraId="5520F805" w14:textId="2680B4FB">
      <w:pPr>
        <w:pStyle w:val="Standard"/>
        <w:spacing w:after="0" w:line="312" w:lineRule="auto"/>
        <w:jc w:val="center"/>
      </w:pPr>
      <w:r w:rsidR="56DEF930">
        <w:rPr/>
        <w:t>The IVA application for Q4/24</w:t>
      </w:r>
    </w:p>
    <w:p w:rsidR="00E313E3" w:rsidP="56DEF930" w:rsidRDefault="00E313E3" w14:paraId="780A16EA" w14:textId="6F638169">
      <w:pPr>
        <w:pStyle w:val="Standard"/>
        <w:spacing w:after="0" w:line="312" w:lineRule="auto"/>
        <w:jc w:val="both"/>
        <w:rPr>
          <w:rFonts w:ascii="Calibri" w:hAnsi="Calibri" w:eastAsia="Calibri" w:cs="Calibri"/>
          <w:b w:val="0"/>
          <w:bCs w:val="0"/>
          <w:i w:val="0"/>
          <w:iCs w:val="0"/>
          <w:caps w:val="0"/>
          <w:smallCaps w:val="0"/>
          <w:noProof w:val="0"/>
          <w:color w:val="000000" w:themeColor="text1" w:themeTint="FF" w:themeShade="FF"/>
          <w:sz w:val="22"/>
          <w:szCs w:val="22"/>
          <w:lang w:val="fr-FR"/>
        </w:rPr>
      </w:pPr>
    </w:p>
    <w:p w:rsidR="00E313E3" w:rsidP="56DEF930" w:rsidRDefault="00E313E3" w14:paraId="05A32A44" w14:textId="0AA968C5">
      <w:pPr>
        <w:pStyle w:val="Standard"/>
        <w:spacing w:after="0" w:line="312" w:lineRule="auto"/>
        <w:jc w:val="both"/>
        <w:rPr>
          <w:rFonts w:ascii="Calibri" w:hAnsi="Calibri" w:eastAsia="Calibri" w:cs="Calibri"/>
          <w:b w:val="0"/>
          <w:bCs w:val="0"/>
          <w:i w:val="0"/>
          <w:iCs w:val="0"/>
          <w:caps w:val="0"/>
          <w:smallCaps w:val="0"/>
          <w:noProof w:val="0"/>
          <w:color w:val="000000" w:themeColor="text1" w:themeTint="FF" w:themeShade="FF"/>
          <w:sz w:val="22"/>
          <w:szCs w:val="22"/>
          <w:lang w:val="fr-FR"/>
        </w:rPr>
      </w:pPr>
    </w:p>
    <w:p w:rsidR="00E313E3" w:rsidP="56DEF930" w:rsidRDefault="00E313E3" w14:paraId="328053C1" w14:textId="722BCD92">
      <w:pPr>
        <w:tabs>
          <w:tab w:val="left" w:leader="none" w:pos="708"/>
        </w:tabs>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fr-FR"/>
        </w:rPr>
      </w:pPr>
      <w:r w:rsidRPr="56DEF930" w:rsidR="56DEF930">
        <w:rPr>
          <w:rFonts w:ascii="Arial" w:hAnsi="Arial" w:eastAsia="Arial" w:cs="Arial"/>
          <w:b w:val="0"/>
          <w:bCs w:val="0"/>
          <w:i w:val="0"/>
          <w:iCs w:val="0"/>
          <w:caps w:val="0"/>
          <w:smallCaps w:val="0"/>
          <w:noProof w:val="0"/>
          <w:color w:val="000000" w:themeColor="text1" w:themeTint="FF" w:themeShade="FF"/>
          <w:sz w:val="20"/>
          <w:szCs w:val="20"/>
          <w:lang w:val="en-GB"/>
        </w:rPr>
        <w:t>The main portion of the IVA application was done on the CNEC [SK-SK] V.Dur - Levice 2 [DIR] + N-1 V.Dur - Levice 1  SK_CBCO_00079 on which significant volume of the virtual margin was assigned. There are two solutions that are planned:</w:t>
      </w:r>
    </w:p>
    <w:p w:rsidR="00E313E3" w:rsidP="56DEF930" w:rsidRDefault="00E313E3" w14:paraId="464713EC" w14:textId="5A30A9A9">
      <w:pPr>
        <w:pStyle w:val="Listenabsatz"/>
        <w:spacing w:after="0" w:line="276" w:lineRule="auto"/>
        <w:jc w:val="both"/>
        <w:rPr>
          <w:rFonts w:ascii="Arial" w:hAnsi="Arial" w:eastAsia="Arial" w:cs="Arial"/>
          <w:b w:val="0"/>
          <w:bCs w:val="0"/>
          <w:i w:val="0"/>
          <w:iCs w:val="0"/>
          <w:caps w:val="0"/>
          <w:smallCaps w:val="0"/>
          <w:noProof w:val="0"/>
          <w:color w:val="000000" w:themeColor="text1" w:themeTint="FF" w:themeShade="FF"/>
          <w:sz w:val="20"/>
          <w:szCs w:val="20"/>
          <w:lang w:val="fr-FR"/>
        </w:rPr>
      </w:pPr>
      <w:r w:rsidRPr="56DEF930" w:rsidR="56DEF930">
        <w:rPr>
          <w:rFonts w:ascii="Arial" w:hAnsi="Arial" w:eastAsia="Arial" w:cs="Arial"/>
          <w:b w:val="0"/>
          <w:bCs w:val="0"/>
          <w:i w:val="0"/>
          <w:iCs w:val="0"/>
          <w:caps w:val="0"/>
          <w:smallCaps w:val="0"/>
          <w:noProof w:val="0"/>
          <w:color w:val="000000" w:themeColor="text1" w:themeTint="FF" w:themeShade="FF"/>
          <w:sz w:val="20"/>
          <w:szCs w:val="20"/>
          <w:lang w:val="en-GB"/>
        </w:rPr>
        <w:t>Short-term solution: Introduction of new topological measure in that are that should help to relieve the congestion and therefore allows to reduce the number of IVA application.</w:t>
      </w:r>
    </w:p>
    <w:p w:rsidR="00E313E3" w:rsidP="56DEF930" w:rsidRDefault="00E313E3" w14:paraId="5A8F820B" w14:textId="7B0C9E50">
      <w:pPr>
        <w:pStyle w:val="Listenabsatz"/>
        <w:spacing w:after="0" w:line="276" w:lineRule="auto"/>
        <w:jc w:val="both"/>
        <w:rPr>
          <w:rFonts w:ascii="Arial" w:hAnsi="Arial" w:eastAsia="Arial" w:cs="Arial"/>
          <w:b w:val="0"/>
          <w:bCs w:val="0"/>
          <w:i w:val="0"/>
          <w:iCs w:val="0"/>
          <w:caps w:val="0"/>
          <w:smallCaps w:val="0"/>
          <w:noProof w:val="0"/>
          <w:color w:val="000000" w:themeColor="text1" w:themeTint="FF" w:themeShade="FF"/>
          <w:sz w:val="20"/>
          <w:szCs w:val="20"/>
          <w:lang w:val="fr-FR"/>
        </w:rPr>
      </w:pPr>
      <w:r w:rsidRPr="56DEF930" w:rsidR="56DEF930">
        <w:rPr>
          <w:rFonts w:ascii="Arial" w:hAnsi="Arial" w:eastAsia="Arial" w:cs="Arial"/>
          <w:b w:val="0"/>
          <w:bCs w:val="0"/>
          <w:i w:val="0"/>
          <w:iCs w:val="0"/>
          <w:caps w:val="0"/>
          <w:smallCaps w:val="0"/>
          <w:noProof w:val="0"/>
          <w:color w:val="000000" w:themeColor="text1" w:themeTint="FF" w:themeShade="FF"/>
          <w:sz w:val="20"/>
          <w:szCs w:val="20"/>
          <w:lang w:val="en-GB"/>
        </w:rPr>
        <w:t>Long-term solution: There is a plan to change configuration of the critical elements in the substation V. Dur, which should significantly decrease the flows on CNEC NEC [SK-SK] V.Dur - Levice 2 [DIR] + N-1 V.Dur - Levice. The current estimation is that this shall be accomplished in Q2 2028.</w:t>
      </w:r>
    </w:p>
    <w:p w:rsidR="00E313E3" w:rsidP="56DEF930" w:rsidRDefault="00E313E3" w14:paraId="2882BD53" w14:textId="6B94CA5F">
      <w:pPr>
        <w:spacing w:after="200" w:line="312" w:lineRule="auto"/>
        <w:jc w:val="both"/>
        <w:rPr>
          <w:rFonts w:ascii="Arial" w:hAnsi="Arial" w:eastAsia="Arial" w:cs="Arial"/>
          <w:b w:val="0"/>
          <w:bCs w:val="0"/>
          <w:i w:val="0"/>
          <w:iCs w:val="0"/>
          <w:caps w:val="0"/>
          <w:smallCaps w:val="0"/>
          <w:noProof w:val="0"/>
          <w:color w:val="000000" w:themeColor="text1" w:themeTint="FF" w:themeShade="FF"/>
          <w:sz w:val="20"/>
          <w:szCs w:val="20"/>
          <w:lang w:val="fr-FR"/>
        </w:rPr>
      </w:pPr>
      <w:r w:rsidRPr="56DEF930" w:rsidR="56DEF930">
        <w:rPr>
          <w:rFonts w:ascii="Arial" w:hAnsi="Arial" w:eastAsia="Arial" w:cs="Arial"/>
          <w:b w:val="0"/>
          <w:bCs w:val="0"/>
          <w:i w:val="0"/>
          <w:iCs w:val="0"/>
          <w:caps w:val="0"/>
          <w:smallCaps w:val="0"/>
          <w:noProof w:val="0"/>
          <w:color w:val="000000" w:themeColor="text1" w:themeTint="FF" w:themeShade="FF"/>
          <w:sz w:val="20"/>
          <w:szCs w:val="20"/>
          <w:lang w:val="en-GB"/>
        </w:rPr>
        <w:t>For the tie-line Nosovice – Varin there is also planned reinforcement that shall increase Imax from 1740A to 2000A in 2026. We assume that this step should lead to decrease of the IVA volume on this element.</w:t>
      </w:r>
    </w:p>
    <w:p w:rsidR="00E313E3" w:rsidP="56DEF930" w:rsidRDefault="00E313E3" w14:paraId="25923B3F" w14:textId="694F01D4">
      <w:pPr>
        <w:pStyle w:val="Standard"/>
        <w:spacing w:after="0" w:line="312" w:lineRule="auto"/>
        <w:jc w:val="both"/>
        <w:rPr>
          <w:rFonts w:ascii="Calibri" w:hAnsi="Calibri" w:eastAsia="Calibri" w:cs="Calibri"/>
          <w:b w:val="0"/>
          <w:bCs w:val="0"/>
          <w:i w:val="0"/>
          <w:iCs w:val="0"/>
          <w:caps w:val="0"/>
          <w:smallCaps w:val="0"/>
          <w:noProof w:val="0"/>
          <w:color w:val="000000" w:themeColor="text1" w:themeTint="FF" w:themeShade="FF"/>
          <w:sz w:val="22"/>
          <w:szCs w:val="22"/>
          <w:lang w:val="fr-FR"/>
        </w:rPr>
      </w:pPr>
    </w:p>
    <w:p w:rsidR="00E313E3" w:rsidP="56DEF930" w:rsidRDefault="00E313E3" w14:paraId="379D7431" w14:textId="551A3581">
      <w:pPr>
        <w:pStyle w:val="Standard"/>
        <w:rPr>
          <w:lang w:val="en-GB" w:eastAsia="nl-NL"/>
        </w:rPr>
      </w:pPr>
    </w:p>
    <w:p w:rsidRPr="00E313E3" w:rsidR="00E313E3" w:rsidP="00E313E3" w:rsidRDefault="00E313E3" w14:paraId="400D7A25" w14:textId="77777777">
      <w:pPr>
        <w:rPr>
          <w:lang w:val="en-GB" w:eastAsia="nl-NL"/>
        </w:rPr>
      </w:pPr>
    </w:p>
    <w:p w:rsidRPr="00B74194" w:rsidR="03D1E99D" w:rsidP="00B74194" w:rsidRDefault="22BD2857" w14:paraId="23C7C36D" w14:textId="5D2A322B">
      <w:pPr>
        <w:pStyle w:val="berschrift1"/>
      </w:pPr>
      <w:bookmarkStart w:name="_Toc1615223071" w:id="36"/>
      <w:r>
        <w:t>Transelectrica</w:t>
      </w:r>
      <w:bookmarkEnd w:id="36"/>
    </w:p>
    <w:p w:rsidR="03D1E99D" w:rsidP="22BD2857" w:rsidRDefault="22BD2857" w14:paraId="6E4523B1" w14:textId="3A2ABC8E">
      <w:pPr>
        <w:spacing w:after="240"/>
      </w:pPr>
      <w:r w:rsidRPr="22BD2857">
        <w:rPr>
          <w:rFonts w:eastAsia="Arial" w:cs="Arial"/>
          <w:color w:val="000000" w:themeColor="text1"/>
        </w:rPr>
        <w:t xml:space="preserve">In 2021, the Romanian Government decided to adopt an Action Plan pursuant to Article 15 of the Regulation (EU) 2019/943, including a linear trajectory for the yearly increase of the minimum capacity made available for cross-zonal trade until 31 December 2025. </w:t>
      </w:r>
    </w:p>
    <w:p w:rsidR="03D1E99D" w:rsidP="22BD2857" w:rsidRDefault="22BD2857" w14:paraId="57FFBCF7" w14:textId="7515E119">
      <w:pPr>
        <w:spacing w:after="240"/>
      </w:pPr>
      <w:r w:rsidRPr="22BD2857">
        <w:rPr>
          <w:rFonts w:eastAsia="Arial" w:cs="Arial"/>
          <w:color w:val="000000" w:themeColor="text1"/>
        </w:rPr>
        <w:t xml:space="preserve">For year 2024 the minimum capacity made available for cross-zonal trade on Romania – Hungary border (part of Core CCR) has been 55% from the transmission capacity) according to the Action Plan. For this year though, </w:t>
      </w:r>
      <w:proofErr w:type="spellStart"/>
      <w:r w:rsidRPr="22BD2857">
        <w:rPr>
          <w:rFonts w:eastAsia="Arial" w:cs="Arial"/>
          <w:color w:val="000000" w:themeColor="text1"/>
        </w:rPr>
        <w:t>Transelectrica</w:t>
      </w:r>
      <w:proofErr w:type="spellEnd"/>
      <w:r w:rsidRPr="22BD2857">
        <w:rPr>
          <w:rFonts w:eastAsia="Arial" w:cs="Arial"/>
          <w:color w:val="000000" w:themeColor="text1"/>
        </w:rPr>
        <w:t xml:space="preserve"> was granted a derogation on foreseeable grounds for maintaining operational security, thus the minimum capacity for cross-border trade remains at 33% from the transmission capacity, the same target provided in the Action Plan for the year of 2021.</w:t>
      </w:r>
    </w:p>
    <w:p w:rsidR="03D1E99D" w:rsidP="22BD2857" w:rsidRDefault="22BD2857" w14:paraId="69833E80" w14:textId="6A1B633E">
      <w:r w:rsidRPr="22BD2857">
        <w:rPr>
          <w:rFonts w:eastAsia="Arial" w:cs="Arial"/>
          <w:color w:val="000000" w:themeColor="text1"/>
        </w:rPr>
        <w:t xml:space="preserve">In addition to being part of the Core CCR, </w:t>
      </w:r>
      <w:proofErr w:type="spellStart"/>
      <w:r w:rsidRPr="22BD2857">
        <w:rPr>
          <w:rFonts w:eastAsia="Arial" w:cs="Arial"/>
          <w:color w:val="000000" w:themeColor="text1"/>
        </w:rPr>
        <w:t>Transelectrica</w:t>
      </w:r>
      <w:proofErr w:type="spellEnd"/>
      <w:r w:rsidRPr="22BD2857">
        <w:rPr>
          <w:rFonts w:eastAsia="Arial" w:cs="Arial"/>
          <w:color w:val="000000" w:themeColor="text1"/>
        </w:rPr>
        <w:t xml:space="preserve"> is also part of SEE CCR with RO – BG border having operational processes for </w:t>
      </w:r>
      <w:proofErr w:type="spellStart"/>
      <w:r w:rsidRPr="22BD2857">
        <w:rPr>
          <w:rFonts w:eastAsia="Arial" w:cs="Arial"/>
          <w:color w:val="000000" w:themeColor="text1"/>
        </w:rPr>
        <w:t>Day-ahead</w:t>
      </w:r>
      <w:proofErr w:type="spellEnd"/>
      <w:r w:rsidRPr="22BD2857">
        <w:rPr>
          <w:rFonts w:eastAsia="Arial" w:cs="Arial"/>
          <w:color w:val="000000" w:themeColor="text1"/>
        </w:rPr>
        <w:t xml:space="preserve"> capacity calculation since June 2021 and first Intraday capacity calculation since October 2021. Moreover, there are three non-EU borders for which there is no coordinated capacity calculation.</w:t>
      </w:r>
    </w:p>
    <w:p w:rsidR="03D1E99D" w:rsidP="22BD2857" w:rsidRDefault="22BD2857" w14:paraId="12906529" w14:textId="0199DEA1">
      <w:r w:rsidRPr="22BD2857">
        <w:rPr>
          <w:rFonts w:eastAsia="Arial" w:cs="Arial"/>
          <w:color w:val="000000" w:themeColor="text1"/>
        </w:rPr>
        <w:t xml:space="preserve"> </w:t>
      </w:r>
    </w:p>
    <w:p w:rsidR="03D1E99D" w:rsidP="22BD2857" w:rsidRDefault="22BD2857" w14:paraId="13B767AD" w14:textId="61F26306">
      <w:pPr>
        <w:spacing w:after="240"/>
      </w:pPr>
      <w:r w:rsidRPr="22BD2857">
        <w:rPr>
          <w:rFonts w:eastAsia="Arial" w:cs="Arial"/>
          <w:color w:val="000000" w:themeColor="text1"/>
        </w:rPr>
        <w:t xml:space="preserve">Regarding the capacity calculation process, the Core DA CCM allows TSOs to correct cross-zonal capacity for reasons of operational security during the validation process individually and in a coordinated way according to Article 20 (1). Article 20(5) states that “each Core TSO shall validate and have the right to decrease the RAM for reasons of operational security during the individual validation. The adjustment due to individual validation is called ‘individual validation adjustment’ (IVA) and it shall have a positive value, </w:t>
      </w:r>
      <w:r w:rsidRPr="22BD2857">
        <w:rPr>
          <w:rFonts w:eastAsia="Arial" w:cs="Arial"/>
          <w:color w:val="000000" w:themeColor="text1"/>
        </w:rPr>
        <w:lastRenderedPageBreak/>
        <w:t>i.e. it may only reduce the RAM. IVA may reduce the RAM only to the minimum degree that is needed to ensure operational security considering all expected available costly and non-costly RAs”.</w:t>
      </w:r>
    </w:p>
    <w:p w:rsidR="03D1E99D" w:rsidP="22BD2857" w:rsidRDefault="22BD2857" w14:paraId="2822EE05" w14:textId="6000366F">
      <w:r w:rsidRPr="22BD2857">
        <w:rPr>
          <w:rFonts w:eastAsia="Arial" w:cs="Arial"/>
          <w:color w:val="000000" w:themeColor="text1"/>
        </w:rPr>
        <w:t xml:space="preserve">For the period 20241001 – 20241231, </w:t>
      </w:r>
      <w:proofErr w:type="spellStart"/>
      <w:r w:rsidRPr="22BD2857">
        <w:rPr>
          <w:rFonts w:eastAsia="Arial" w:cs="Arial"/>
          <w:color w:val="000000" w:themeColor="text1"/>
        </w:rPr>
        <w:t>Transelectrica</w:t>
      </w:r>
      <w:proofErr w:type="spellEnd"/>
      <w:r w:rsidRPr="22BD2857">
        <w:rPr>
          <w:rFonts w:eastAsia="Arial" w:cs="Arial"/>
          <w:color w:val="000000" w:themeColor="text1"/>
        </w:rPr>
        <w:t xml:space="preserve"> applied an Individual Validation Adjustment (IVA) on the CNEs mentioned in Figure 1. In this graph the average IVA per CNE is represented for the timestamps where reductions were applied for more than 1% of the total reductions.  </w:t>
      </w:r>
    </w:p>
    <w:p w:rsidR="03D1E99D" w:rsidP="22BD2857" w:rsidRDefault="03D1E99D" w14:paraId="423A2719" w14:textId="69ED9916">
      <w:pPr>
        <w:rPr>
          <w:lang w:val="en-GB" w:eastAsia="nl-NL"/>
        </w:rPr>
      </w:pPr>
    </w:p>
    <w:p w:rsidR="2A056BA6" w:rsidP="22BD2857" w:rsidRDefault="2A056BA6" w14:paraId="33096152" w14:textId="36E50F67">
      <w:pPr>
        <w:jc w:val="center"/>
      </w:pPr>
      <w:r>
        <w:rPr>
          <w:noProof/>
        </w:rPr>
        <w:drawing>
          <wp:inline distT="0" distB="0" distL="0" distR="0" wp14:anchorId="755C7862" wp14:editId="6FCF4634">
            <wp:extent cx="5578325" cy="2334970"/>
            <wp:effectExtent l="0" t="0" r="0" b="0"/>
            <wp:docPr id="693293950" name="Grafik 693293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578325" cy="2334970"/>
                    </a:xfrm>
                    <a:prstGeom prst="rect">
                      <a:avLst/>
                    </a:prstGeom>
                  </pic:spPr>
                </pic:pic>
              </a:graphicData>
            </a:graphic>
          </wp:inline>
        </w:drawing>
      </w:r>
    </w:p>
    <w:p w:rsidR="2A056BA6" w:rsidP="22BD2857" w:rsidRDefault="22BD2857" w14:paraId="744C86CB" w14:textId="1445B75B">
      <w:pPr>
        <w:jc w:val="center"/>
      </w:pPr>
      <w:r w:rsidRPr="22BD2857">
        <w:rPr>
          <w:rFonts w:eastAsia="Arial" w:cs="Arial"/>
        </w:rPr>
        <w:t xml:space="preserve"> </w:t>
      </w:r>
      <w:r w:rsidRPr="22BD2857">
        <w:rPr>
          <w:rFonts w:eastAsia="Arial" w:cs="Arial"/>
          <w:i/>
          <w:iCs/>
          <w:color w:val="000000" w:themeColor="text1"/>
          <w:sz w:val="18"/>
          <w:szCs w:val="18"/>
        </w:rPr>
        <w:t>Figure 1. Average IVA applied per CNE during the reported period</w:t>
      </w:r>
    </w:p>
    <w:p w:rsidR="2A056BA6" w:rsidP="22BD2857" w:rsidRDefault="2A056BA6" w14:paraId="4F386D2F" w14:textId="6C5D1EFE">
      <w:pPr>
        <w:rPr>
          <w:rFonts w:eastAsia="Arial" w:cs="Arial"/>
        </w:rPr>
      </w:pPr>
    </w:p>
    <w:p w:rsidR="2A056BA6" w:rsidP="22BD2857" w:rsidRDefault="22BD2857" w14:paraId="3C44EC71" w14:textId="2D1C2D52">
      <w:r w:rsidRPr="22BD2857">
        <w:rPr>
          <w:rFonts w:eastAsia="Arial" w:cs="Arial"/>
          <w:lang w:val="en-GB"/>
        </w:rPr>
        <w:t xml:space="preserve"> </w:t>
      </w:r>
      <w:r w:rsidRPr="22BD2857">
        <w:rPr>
          <w:rFonts w:eastAsia="Arial" w:cs="Arial"/>
          <w:color w:val="000000" w:themeColor="text1"/>
        </w:rPr>
        <w:t>Moreover, the percentage of total applications shows that reductions were applied for the same CNEs, located mainly in the western part of the grid.</w:t>
      </w:r>
    </w:p>
    <w:p w:rsidR="2A056BA6" w:rsidP="22BD2857" w:rsidRDefault="2A056BA6" w14:paraId="1BBA5CC3" w14:textId="4CBE24E0">
      <w:pPr>
        <w:rPr>
          <w:rFonts w:eastAsia="Arial" w:cs="Arial"/>
          <w:lang w:val="en-GB"/>
        </w:rPr>
      </w:pPr>
    </w:p>
    <w:p w:rsidR="2A056BA6" w:rsidP="22BD2857" w:rsidRDefault="22BD2857" w14:paraId="1B7077AB" w14:textId="208CC504">
      <w:pPr>
        <w:pStyle w:val="Listenabsatz"/>
        <w:rPr>
          <w:rFonts w:eastAsia="Arial"/>
          <w:color w:val="000000" w:themeColor="text1"/>
          <w:szCs w:val="20"/>
        </w:rPr>
      </w:pPr>
      <w:r w:rsidRPr="22BD2857">
        <w:rPr>
          <w:rFonts w:eastAsia="Arial"/>
          <w:color w:val="000000" w:themeColor="text1"/>
          <w:szCs w:val="20"/>
        </w:rPr>
        <w:t xml:space="preserve">General measures to avoid cross-zonal capacity reductions in the future, as per Art. 20(14)(b) of DA </w:t>
      </w:r>
      <w:proofErr w:type="gramStart"/>
      <w:r w:rsidRPr="22BD2857">
        <w:rPr>
          <w:rFonts w:eastAsia="Arial"/>
          <w:color w:val="000000" w:themeColor="text1"/>
          <w:szCs w:val="20"/>
        </w:rPr>
        <w:t>CCM;</w:t>
      </w:r>
      <w:proofErr w:type="gramEnd"/>
    </w:p>
    <w:p w:rsidR="2A056BA6" w:rsidP="22BD2857" w:rsidRDefault="22BD2857" w14:paraId="0587FFD9" w14:textId="33EB0494">
      <w:pPr>
        <w:spacing w:after="240"/>
      </w:pPr>
      <w:r w:rsidRPr="22BD2857">
        <w:rPr>
          <w:rFonts w:eastAsia="Arial" w:cs="Arial"/>
          <w:color w:val="000000" w:themeColor="text1"/>
        </w:rPr>
        <w:t>Detailed report and action plan describing how such deviations are expected to be alleviated and solved in the future.</w:t>
      </w:r>
    </w:p>
    <w:p w:rsidR="2A056BA6" w:rsidP="22BD2857" w:rsidRDefault="22BD2857" w14:paraId="4A91CD28" w14:textId="34AD08AE">
      <w:pPr>
        <w:pStyle w:val="Listenabsatz"/>
        <w:rPr>
          <w:rFonts w:eastAsia="Arial"/>
          <w:color w:val="000000" w:themeColor="text1"/>
          <w:szCs w:val="20"/>
        </w:rPr>
      </w:pPr>
      <w:r w:rsidRPr="22BD2857">
        <w:rPr>
          <w:rFonts w:eastAsia="Arial"/>
          <w:color w:val="000000" w:themeColor="text1"/>
          <w:szCs w:val="20"/>
        </w:rPr>
        <w:t>Development of the transmission grid</w:t>
      </w:r>
    </w:p>
    <w:p w:rsidR="2A056BA6" w:rsidP="22BD2857" w:rsidRDefault="22BD2857" w14:paraId="6815D92C" w14:textId="1FEE09FB">
      <w:r w:rsidRPr="22BD2857">
        <w:rPr>
          <w:rFonts w:eastAsia="Arial" w:cs="Arial"/>
          <w:color w:val="000000" w:themeColor="text1"/>
        </w:rPr>
        <w:t xml:space="preserve">Most of the cases with IVA applications are related to 220 kV critical network elements located in the southwest part of the country. The following measures are foreseen according to the National Action plan </w:t>
      </w:r>
      <w:proofErr w:type="gramStart"/>
      <w:r w:rsidRPr="22BD2857">
        <w:rPr>
          <w:rFonts w:eastAsia="Arial" w:cs="Arial"/>
          <w:color w:val="000000" w:themeColor="text1"/>
        </w:rPr>
        <w:t>in order to</w:t>
      </w:r>
      <w:proofErr w:type="gramEnd"/>
      <w:r w:rsidRPr="22BD2857">
        <w:rPr>
          <w:rFonts w:eastAsia="Arial" w:cs="Arial"/>
          <w:color w:val="000000" w:themeColor="text1"/>
        </w:rPr>
        <w:t xml:space="preserve"> increase the remaining available margin of these elements:</w:t>
      </w:r>
    </w:p>
    <w:p w:rsidR="2A056BA6" w:rsidP="22BD2857" w:rsidRDefault="22BD2857" w14:paraId="3578EB9A" w14:textId="3DD19F03">
      <w:pPr>
        <w:pStyle w:val="Listenabsatz"/>
        <w:rPr>
          <w:rFonts w:eastAsia="Arial"/>
          <w:color w:val="000000" w:themeColor="text1"/>
          <w:szCs w:val="20"/>
          <w:lang w:val="ro"/>
        </w:rPr>
      </w:pPr>
      <w:r w:rsidRPr="22BD2857">
        <w:rPr>
          <w:rFonts w:eastAsia="Arial"/>
          <w:color w:val="000000" w:themeColor="text1"/>
          <w:szCs w:val="20"/>
        </w:rPr>
        <w:t>New 400 kV OHL Por</w:t>
      </w:r>
      <w:r w:rsidRPr="22BD2857">
        <w:rPr>
          <w:rFonts w:eastAsia="Arial"/>
          <w:color w:val="000000" w:themeColor="text1"/>
          <w:szCs w:val="20"/>
          <w:lang w:val="ro"/>
        </w:rPr>
        <w:t xml:space="preserve">țile de Fier – Reșița was commissioned in mid November 2024. This new OHL leads to decreasing the loading on the double circuit OHL 220 kV Porțile de Fier – Reșița and thus leading to a lower need of reductions in the future on these two CNEs. </w:t>
      </w:r>
    </w:p>
    <w:p w:rsidR="2A056BA6" w:rsidP="22BD2857" w:rsidRDefault="22BD2857" w14:paraId="2F13E0A3" w14:textId="79A9958A">
      <w:pPr>
        <w:pStyle w:val="Listenabsatz"/>
        <w:rPr>
          <w:rFonts w:eastAsia="Arial"/>
          <w:color w:val="000000" w:themeColor="text1"/>
          <w:szCs w:val="20"/>
        </w:rPr>
      </w:pPr>
      <w:r w:rsidRPr="22BD2857">
        <w:rPr>
          <w:rFonts w:eastAsia="Arial"/>
          <w:color w:val="000000" w:themeColor="text1"/>
          <w:szCs w:val="20"/>
        </w:rPr>
        <w:t xml:space="preserve">New 400 kV OHL Reșița – </w:t>
      </w:r>
      <w:proofErr w:type="spellStart"/>
      <w:r w:rsidRPr="22BD2857">
        <w:rPr>
          <w:rFonts w:eastAsia="Arial"/>
          <w:color w:val="000000" w:themeColor="text1"/>
          <w:szCs w:val="20"/>
        </w:rPr>
        <w:t>Pancevo</w:t>
      </w:r>
      <w:proofErr w:type="spellEnd"/>
      <w:r w:rsidRPr="22BD2857">
        <w:rPr>
          <w:rFonts w:eastAsia="Arial"/>
          <w:color w:val="000000" w:themeColor="text1"/>
          <w:szCs w:val="20"/>
        </w:rPr>
        <w:t xml:space="preserve"> circuit 2 was commissioned in </w:t>
      </w:r>
      <w:proofErr w:type="spellStart"/>
      <w:r w:rsidRPr="22BD2857">
        <w:rPr>
          <w:rFonts w:eastAsia="Arial"/>
          <w:color w:val="000000" w:themeColor="text1"/>
          <w:szCs w:val="20"/>
        </w:rPr>
        <w:t>mid November</w:t>
      </w:r>
      <w:proofErr w:type="spellEnd"/>
      <w:r w:rsidRPr="22BD2857">
        <w:rPr>
          <w:rFonts w:eastAsia="Arial"/>
          <w:color w:val="000000" w:themeColor="text1"/>
          <w:szCs w:val="20"/>
        </w:rPr>
        <w:t xml:space="preserve"> 2024. 400 kV OHL Reșița – </w:t>
      </w:r>
      <w:proofErr w:type="spellStart"/>
      <w:r w:rsidRPr="22BD2857">
        <w:rPr>
          <w:rFonts w:eastAsia="Arial"/>
          <w:color w:val="000000" w:themeColor="text1"/>
          <w:szCs w:val="20"/>
        </w:rPr>
        <w:t>Pancevo</w:t>
      </w:r>
      <w:proofErr w:type="spellEnd"/>
      <w:r w:rsidRPr="22BD2857">
        <w:rPr>
          <w:rFonts w:eastAsia="Arial"/>
          <w:color w:val="000000" w:themeColor="text1"/>
          <w:szCs w:val="20"/>
        </w:rPr>
        <w:t xml:space="preserve"> circuit 1 will be commissioned in the beginning of 2025. This investment project leads to increasing transfer capacity and improving the system security in the region. </w:t>
      </w:r>
      <w:proofErr w:type="gramStart"/>
      <w:r w:rsidRPr="22BD2857">
        <w:rPr>
          <w:rFonts w:eastAsia="Arial"/>
          <w:color w:val="000000" w:themeColor="text1"/>
          <w:szCs w:val="20"/>
        </w:rPr>
        <w:t>Moreover</w:t>
      </w:r>
      <w:proofErr w:type="gramEnd"/>
      <w:r w:rsidRPr="22BD2857">
        <w:rPr>
          <w:rFonts w:eastAsia="Arial"/>
          <w:color w:val="000000" w:themeColor="text1"/>
          <w:szCs w:val="20"/>
        </w:rPr>
        <w:t xml:space="preserve"> the loading of the critical network element 400 kV OHL </w:t>
      </w:r>
      <w:proofErr w:type="spellStart"/>
      <w:r w:rsidRPr="22BD2857">
        <w:rPr>
          <w:rFonts w:eastAsia="Arial"/>
          <w:color w:val="000000" w:themeColor="text1"/>
          <w:szCs w:val="20"/>
        </w:rPr>
        <w:t>Porțile</w:t>
      </w:r>
      <w:proofErr w:type="spellEnd"/>
      <w:r w:rsidRPr="22BD2857">
        <w:rPr>
          <w:rFonts w:eastAsia="Arial"/>
          <w:color w:val="000000" w:themeColor="text1"/>
          <w:szCs w:val="20"/>
        </w:rPr>
        <w:t xml:space="preserve"> de </w:t>
      </w:r>
      <w:proofErr w:type="spellStart"/>
      <w:r w:rsidRPr="22BD2857">
        <w:rPr>
          <w:rFonts w:eastAsia="Arial"/>
          <w:color w:val="000000" w:themeColor="text1"/>
          <w:szCs w:val="20"/>
        </w:rPr>
        <w:t>Fier</w:t>
      </w:r>
      <w:proofErr w:type="spellEnd"/>
      <w:r w:rsidRPr="22BD2857">
        <w:rPr>
          <w:rFonts w:eastAsia="Arial"/>
          <w:color w:val="000000" w:themeColor="text1"/>
          <w:szCs w:val="20"/>
        </w:rPr>
        <w:t xml:space="preserve"> – </w:t>
      </w:r>
      <w:proofErr w:type="spellStart"/>
      <w:r w:rsidRPr="22BD2857">
        <w:rPr>
          <w:rFonts w:eastAsia="Arial"/>
          <w:color w:val="000000" w:themeColor="text1"/>
          <w:szCs w:val="20"/>
        </w:rPr>
        <w:t>Djerdap</w:t>
      </w:r>
      <w:proofErr w:type="spellEnd"/>
      <w:r w:rsidRPr="22BD2857">
        <w:rPr>
          <w:rFonts w:eastAsia="Arial"/>
          <w:color w:val="000000" w:themeColor="text1"/>
          <w:szCs w:val="20"/>
        </w:rPr>
        <w:t xml:space="preserve"> is expected to decrease enough so that it is not treated as structural congestion anymore;</w:t>
      </w:r>
    </w:p>
    <w:p w:rsidR="2A056BA6" w:rsidP="22BD2857" w:rsidRDefault="22BD2857" w14:paraId="1F6CB376" w14:textId="6870D7AD">
      <w:pPr>
        <w:pStyle w:val="Listenabsatz"/>
        <w:rPr>
          <w:rFonts w:eastAsia="Arial"/>
          <w:color w:val="000000" w:themeColor="text1"/>
          <w:szCs w:val="20"/>
        </w:rPr>
      </w:pPr>
      <w:r w:rsidRPr="22BD2857">
        <w:rPr>
          <w:rFonts w:eastAsia="Arial"/>
          <w:color w:val="000000" w:themeColor="text1"/>
          <w:szCs w:val="20"/>
        </w:rPr>
        <w:t xml:space="preserve">OHL 400 kV Reșița – </w:t>
      </w:r>
      <w:proofErr w:type="spellStart"/>
      <w:r w:rsidRPr="22BD2857">
        <w:rPr>
          <w:rFonts w:eastAsia="Arial"/>
          <w:color w:val="000000" w:themeColor="text1"/>
          <w:szCs w:val="20"/>
        </w:rPr>
        <w:t>Timișoara</w:t>
      </w:r>
      <w:proofErr w:type="spellEnd"/>
      <w:r w:rsidRPr="22BD2857">
        <w:rPr>
          <w:rFonts w:eastAsia="Arial"/>
          <w:color w:val="000000" w:themeColor="text1"/>
          <w:szCs w:val="20"/>
        </w:rPr>
        <w:t xml:space="preserve"> – </w:t>
      </w:r>
      <w:proofErr w:type="spellStart"/>
      <w:r w:rsidRPr="22BD2857">
        <w:rPr>
          <w:rFonts w:eastAsia="Arial"/>
          <w:color w:val="000000" w:themeColor="text1"/>
          <w:szCs w:val="20"/>
        </w:rPr>
        <w:t>Săcălaz</w:t>
      </w:r>
      <w:proofErr w:type="spellEnd"/>
      <w:r w:rsidRPr="22BD2857">
        <w:rPr>
          <w:rFonts w:eastAsia="Arial"/>
          <w:color w:val="000000" w:themeColor="text1"/>
          <w:szCs w:val="20"/>
        </w:rPr>
        <w:t xml:space="preserve"> </w:t>
      </w:r>
      <w:proofErr w:type="spellStart"/>
      <w:r w:rsidRPr="22BD2857">
        <w:rPr>
          <w:rFonts w:eastAsia="Arial"/>
          <w:color w:val="000000" w:themeColor="text1"/>
          <w:szCs w:val="20"/>
        </w:rPr>
        <w:t>d.c.</w:t>
      </w:r>
      <w:proofErr w:type="spellEnd"/>
      <w:r w:rsidRPr="22BD2857">
        <w:rPr>
          <w:rFonts w:eastAsia="Arial"/>
          <w:color w:val="000000" w:themeColor="text1"/>
          <w:szCs w:val="20"/>
        </w:rPr>
        <w:t xml:space="preserve"> planned for </w:t>
      </w:r>
      <w:proofErr w:type="gramStart"/>
      <w:r w:rsidRPr="22BD2857">
        <w:rPr>
          <w:rFonts w:eastAsia="Arial"/>
          <w:color w:val="000000" w:themeColor="text1"/>
          <w:szCs w:val="20"/>
        </w:rPr>
        <w:t>2026;</w:t>
      </w:r>
      <w:proofErr w:type="gramEnd"/>
    </w:p>
    <w:p w:rsidR="2A056BA6" w:rsidP="22BD2857" w:rsidRDefault="22BD2857" w14:paraId="2642F178" w14:textId="2E2EE130">
      <w:pPr>
        <w:pStyle w:val="Listenabsatz"/>
        <w:rPr>
          <w:rFonts w:eastAsia="Arial"/>
          <w:color w:val="000000" w:themeColor="text1"/>
          <w:szCs w:val="20"/>
        </w:rPr>
      </w:pPr>
      <w:r w:rsidRPr="22BD2857">
        <w:rPr>
          <w:rFonts w:eastAsia="Arial"/>
          <w:color w:val="000000" w:themeColor="text1"/>
          <w:szCs w:val="20"/>
        </w:rPr>
        <w:t xml:space="preserve">OHL 400 kV </w:t>
      </w:r>
      <w:proofErr w:type="spellStart"/>
      <w:r w:rsidRPr="22BD2857">
        <w:rPr>
          <w:rFonts w:eastAsia="Arial"/>
          <w:color w:val="000000" w:themeColor="text1"/>
          <w:szCs w:val="20"/>
        </w:rPr>
        <w:t>Timișoara</w:t>
      </w:r>
      <w:proofErr w:type="spellEnd"/>
      <w:r w:rsidRPr="22BD2857">
        <w:rPr>
          <w:rFonts w:eastAsia="Arial"/>
          <w:color w:val="000000" w:themeColor="text1"/>
          <w:szCs w:val="20"/>
        </w:rPr>
        <w:t xml:space="preserve"> – Arad </w:t>
      </w:r>
      <w:proofErr w:type="spellStart"/>
      <w:r w:rsidRPr="22BD2857">
        <w:rPr>
          <w:rFonts w:eastAsia="Arial"/>
          <w:color w:val="000000" w:themeColor="text1"/>
          <w:szCs w:val="20"/>
        </w:rPr>
        <w:t>d.c.</w:t>
      </w:r>
      <w:proofErr w:type="spellEnd"/>
      <w:r w:rsidRPr="22BD2857">
        <w:rPr>
          <w:rFonts w:eastAsia="Arial"/>
          <w:color w:val="000000" w:themeColor="text1"/>
          <w:szCs w:val="20"/>
        </w:rPr>
        <w:t xml:space="preserve"> planned for </w:t>
      </w:r>
      <w:proofErr w:type="gramStart"/>
      <w:r w:rsidRPr="22BD2857">
        <w:rPr>
          <w:rFonts w:eastAsia="Arial"/>
          <w:color w:val="000000" w:themeColor="text1"/>
          <w:szCs w:val="20"/>
        </w:rPr>
        <w:t>2027;</w:t>
      </w:r>
      <w:proofErr w:type="gramEnd"/>
    </w:p>
    <w:p w:rsidR="2A056BA6" w:rsidP="22BD2857" w:rsidRDefault="22BD2857" w14:paraId="78C08CAF" w14:textId="7EBF3EA1">
      <w:pPr>
        <w:pStyle w:val="Listenabsatz"/>
        <w:rPr>
          <w:rFonts w:eastAsia="Arial"/>
          <w:color w:val="000000" w:themeColor="text1"/>
          <w:szCs w:val="20"/>
        </w:rPr>
      </w:pPr>
      <w:r w:rsidRPr="22BD2857">
        <w:rPr>
          <w:rFonts w:eastAsia="Arial"/>
          <w:color w:val="000000" w:themeColor="text1"/>
          <w:szCs w:val="20"/>
        </w:rPr>
        <w:t xml:space="preserve">Increase the transmission capacity for the OHL in the 220 kV axis </w:t>
      </w:r>
      <w:proofErr w:type="spellStart"/>
      <w:r w:rsidRPr="22BD2857">
        <w:rPr>
          <w:rFonts w:eastAsia="Arial"/>
          <w:color w:val="000000" w:themeColor="text1"/>
          <w:szCs w:val="20"/>
        </w:rPr>
        <w:t>Urechești</w:t>
      </w:r>
      <w:proofErr w:type="spellEnd"/>
      <w:r w:rsidRPr="22BD2857">
        <w:rPr>
          <w:rFonts w:eastAsia="Arial"/>
          <w:color w:val="000000" w:themeColor="text1"/>
          <w:szCs w:val="20"/>
        </w:rPr>
        <w:t xml:space="preserve"> – </w:t>
      </w:r>
      <w:proofErr w:type="spellStart"/>
      <w:r w:rsidRPr="22BD2857">
        <w:rPr>
          <w:rFonts w:eastAsia="Arial"/>
          <w:color w:val="000000" w:themeColor="text1"/>
          <w:szCs w:val="20"/>
        </w:rPr>
        <w:t>Târgu</w:t>
      </w:r>
      <w:proofErr w:type="spellEnd"/>
      <w:r w:rsidRPr="22BD2857">
        <w:rPr>
          <w:rFonts w:eastAsia="Arial"/>
          <w:color w:val="000000" w:themeColor="text1"/>
          <w:szCs w:val="20"/>
        </w:rPr>
        <w:t xml:space="preserve"> Jiu Nord – </w:t>
      </w:r>
      <w:proofErr w:type="spellStart"/>
      <w:r w:rsidRPr="22BD2857">
        <w:rPr>
          <w:rFonts w:eastAsia="Arial"/>
          <w:color w:val="000000" w:themeColor="text1"/>
          <w:szCs w:val="20"/>
        </w:rPr>
        <w:t>Paroșeni</w:t>
      </w:r>
      <w:proofErr w:type="spellEnd"/>
      <w:r w:rsidRPr="22BD2857">
        <w:rPr>
          <w:rFonts w:eastAsia="Arial"/>
          <w:color w:val="000000" w:themeColor="text1"/>
          <w:szCs w:val="20"/>
        </w:rPr>
        <w:t xml:space="preserve"> – Baru Mare – </w:t>
      </w:r>
      <w:proofErr w:type="spellStart"/>
      <w:r w:rsidRPr="22BD2857">
        <w:rPr>
          <w:rFonts w:eastAsia="Arial"/>
          <w:color w:val="000000" w:themeColor="text1"/>
          <w:szCs w:val="20"/>
        </w:rPr>
        <w:t>Hășdat</w:t>
      </w:r>
      <w:proofErr w:type="spellEnd"/>
      <w:r w:rsidRPr="22BD2857">
        <w:rPr>
          <w:rFonts w:eastAsia="Arial"/>
          <w:color w:val="000000" w:themeColor="text1"/>
          <w:szCs w:val="20"/>
        </w:rPr>
        <w:t xml:space="preserve"> planned for </w:t>
      </w:r>
      <w:proofErr w:type="gramStart"/>
      <w:r w:rsidRPr="22BD2857">
        <w:rPr>
          <w:rFonts w:eastAsia="Arial"/>
          <w:color w:val="000000" w:themeColor="text1"/>
          <w:szCs w:val="20"/>
        </w:rPr>
        <w:t>2028;</w:t>
      </w:r>
      <w:proofErr w:type="gramEnd"/>
    </w:p>
    <w:p w:rsidR="2A056BA6" w:rsidP="22BD2857" w:rsidRDefault="22BD2857" w14:paraId="50D2A3AC" w14:textId="54948377">
      <w:pPr>
        <w:pStyle w:val="Listenabsatz"/>
        <w:rPr>
          <w:rFonts w:eastAsia="Arial"/>
          <w:color w:val="000000" w:themeColor="text1"/>
          <w:szCs w:val="20"/>
        </w:rPr>
      </w:pPr>
      <w:r w:rsidRPr="22BD2857">
        <w:rPr>
          <w:rFonts w:eastAsia="Arial"/>
          <w:color w:val="000000" w:themeColor="text1"/>
          <w:szCs w:val="20"/>
        </w:rPr>
        <w:lastRenderedPageBreak/>
        <w:t xml:space="preserve">New 400 kV </w:t>
      </w:r>
      <w:proofErr w:type="spellStart"/>
      <w:r w:rsidRPr="22BD2857">
        <w:rPr>
          <w:rFonts w:eastAsia="Arial"/>
          <w:color w:val="000000" w:themeColor="text1"/>
          <w:szCs w:val="20"/>
        </w:rPr>
        <w:t>Tieline</w:t>
      </w:r>
      <w:proofErr w:type="spellEnd"/>
      <w:r w:rsidRPr="22BD2857">
        <w:rPr>
          <w:rFonts w:eastAsia="Arial"/>
          <w:color w:val="000000" w:themeColor="text1"/>
          <w:szCs w:val="20"/>
        </w:rPr>
        <w:t xml:space="preserve"> Suceava – </w:t>
      </w:r>
      <w:proofErr w:type="spellStart"/>
      <w:r w:rsidRPr="22BD2857">
        <w:rPr>
          <w:rFonts w:eastAsia="Arial"/>
          <w:color w:val="000000" w:themeColor="text1"/>
          <w:szCs w:val="20"/>
        </w:rPr>
        <w:t>Bălți</w:t>
      </w:r>
      <w:proofErr w:type="spellEnd"/>
      <w:r w:rsidRPr="22BD2857">
        <w:rPr>
          <w:rFonts w:eastAsia="Arial"/>
          <w:color w:val="000000" w:themeColor="text1"/>
          <w:szCs w:val="20"/>
        </w:rPr>
        <w:t xml:space="preserve"> (RO-MD) planned for </w:t>
      </w:r>
      <w:proofErr w:type="gramStart"/>
      <w:r w:rsidRPr="22BD2857">
        <w:rPr>
          <w:rFonts w:eastAsia="Arial"/>
          <w:color w:val="000000" w:themeColor="text1"/>
          <w:szCs w:val="20"/>
        </w:rPr>
        <w:t>2030;</w:t>
      </w:r>
      <w:proofErr w:type="gramEnd"/>
    </w:p>
    <w:p w:rsidR="2A056BA6" w:rsidP="22BD2857" w:rsidRDefault="22BD2857" w14:paraId="50D2F8F0" w14:textId="1110199C">
      <w:pPr>
        <w:pStyle w:val="Listenabsatz"/>
        <w:rPr>
          <w:rFonts w:eastAsia="Arial"/>
          <w:color w:val="000000" w:themeColor="text1"/>
          <w:szCs w:val="20"/>
        </w:rPr>
      </w:pPr>
      <w:r w:rsidRPr="22BD2857">
        <w:rPr>
          <w:rFonts w:eastAsia="Arial"/>
          <w:color w:val="000000" w:themeColor="text1"/>
          <w:szCs w:val="20"/>
        </w:rPr>
        <w:t xml:space="preserve">New 400/220 kV Autotransformer in </w:t>
      </w:r>
      <w:proofErr w:type="spellStart"/>
      <w:r w:rsidRPr="22BD2857">
        <w:rPr>
          <w:rFonts w:eastAsia="Arial"/>
          <w:color w:val="000000" w:themeColor="text1"/>
          <w:szCs w:val="20"/>
        </w:rPr>
        <w:t>Roșiori</w:t>
      </w:r>
      <w:proofErr w:type="spellEnd"/>
      <w:r w:rsidRPr="22BD2857">
        <w:rPr>
          <w:rFonts w:eastAsia="Arial"/>
          <w:color w:val="000000" w:themeColor="text1"/>
          <w:szCs w:val="20"/>
        </w:rPr>
        <w:t xml:space="preserve"> substation planned for 2027.  </w:t>
      </w:r>
    </w:p>
    <w:p w:rsidR="2A056BA6" w:rsidP="22BD2857" w:rsidRDefault="22BD2857" w14:paraId="12F9514C" w14:textId="5135D108">
      <w:r w:rsidRPr="22BD2857">
        <w:rPr>
          <w:rFonts w:eastAsia="Arial" w:cs="Arial"/>
          <w:color w:val="000000" w:themeColor="text1"/>
        </w:rPr>
        <w:t xml:space="preserve"> </w:t>
      </w:r>
    </w:p>
    <w:p w:rsidR="2A056BA6" w:rsidP="22BD2857" w:rsidRDefault="22BD2857" w14:paraId="39530E53" w14:textId="0DE91176">
      <w:pPr>
        <w:pStyle w:val="Listenabsatz"/>
        <w:rPr>
          <w:rFonts w:eastAsia="Arial"/>
          <w:color w:val="000000" w:themeColor="text1"/>
          <w:szCs w:val="20"/>
        </w:rPr>
      </w:pPr>
      <w:r w:rsidRPr="22BD2857">
        <w:rPr>
          <w:rFonts w:eastAsia="Arial"/>
          <w:color w:val="000000" w:themeColor="text1"/>
          <w:szCs w:val="20"/>
        </w:rPr>
        <w:t>Increase the quality of the D2CF CGMs at CCR level</w:t>
      </w:r>
    </w:p>
    <w:p w:rsidR="2A056BA6" w:rsidP="22BD2857" w:rsidRDefault="22BD2857" w14:paraId="1C563E34" w14:textId="0AE28994">
      <w:pPr>
        <w:spacing w:after="240"/>
      </w:pPr>
      <w:r w:rsidRPr="22BD2857">
        <w:rPr>
          <w:rFonts w:eastAsia="Arial" w:cs="Arial"/>
          <w:color w:val="000000" w:themeColor="text1"/>
        </w:rPr>
        <w:t xml:space="preserve">At this moment there is no common D2CF CGMs process to be used for DA CC in all CCRs. Each CCR has its own rules on the IGMs (e.g. D2CF for Core TSOs and DACF for the rest of Continental Europe) and a net position forecast to be used when CGMs are created. As there is no common, harmonized and reliable net position or exchange forecast yet implemented in Europe, the assumptions taken by each CCR will lead to large uncertainties, potentially high overloads and operational situations where the available remedial action potential (including </w:t>
      </w:r>
      <w:proofErr w:type="spellStart"/>
      <w:r w:rsidRPr="22BD2857">
        <w:rPr>
          <w:rFonts w:eastAsia="Arial" w:cs="Arial"/>
          <w:color w:val="000000" w:themeColor="text1"/>
        </w:rPr>
        <w:t>redispatching</w:t>
      </w:r>
      <w:proofErr w:type="spellEnd"/>
      <w:r w:rsidRPr="22BD2857">
        <w:rPr>
          <w:rFonts w:eastAsia="Arial" w:cs="Arial"/>
          <w:color w:val="000000" w:themeColor="text1"/>
        </w:rPr>
        <w:t>) is insufficient, thus leading to applying reductions on CNECs. This situation affects the power flow on the 220 kV critical network elements located especially in the southwest part of the country, heavily influenced by the exchanges in the SEE region where DACF files are used for the purpose of D2CF CGMs in Core CCR. A common D2CF CGM process is required for all CCRs in Continental Europe as soon as possible.</w:t>
      </w:r>
    </w:p>
    <w:p w:rsidR="2A056BA6" w:rsidP="22BD2857" w:rsidRDefault="22BD2857" w14:paraId="766A93FA" w14:textId="479FC575">
      <w:pPr>
        <w:pStyle w:val="Listenabsatz"/>
        <w:rPr>
          <w:rFonts w:eastAsia="Arial"/>
          <w:color w:val="000000" w:themeColor="text1"/>
          <w:szCs w:val="20"/>
        </w:rPr>
      </w:pPr>
      <w:r w:rsidRPr="22BD2857">
        <w:rPr>
          <w:rFonts w:eastAsia="Arial"/>
          <w:color w:val="000000" w:themeColor="text1"/>
          <w:szCs w:val="20"/>
        </w:rPr>
        <w:t>Implementation of the coordinated validation in the Core CCR</w:t>
      </w:r>
    </w:p>
    <w:p w:rsidR="2A056BA6" w:rsidP="22BD2857" w:rsidRDefault="22BD2857" w14:paraId="45C4CB49" w14:textId="3F476E16">
      <w:pPr>
        <w:spacing w:after="240"/>
      </w:pPr>
      <w:r w:rsidRPr="22BD2857">
        <w:rPr>
          <w:rFonts w:eastAsia="Arial" w:cs="Arial"/>
          <w:color w:val="000000" w:themeColor="text1"/>
        </w:rPr>
        <w:t xml:space="preserve">Coordinated validation would allow TSOs to use commonly the remedial actions available throughout Core CCR, making use of the most suitable remedial action </w:t>
      </w:r>
      <w:proofErr w:type="gramStart"/>
      <w:r w:rsidRPr="22BD2857">
        <w:rPr>
          <w:rFonts w:eastAsia="Arial" w:cs="Arial"/>
          <w:color w:val="000000" w:themeColor="text1"/>
        </w:rPr>
        <w:t>in order to</w:t>
      </w:r>
      <w:proofErr w:type="gramEnd"/>
      <w:r w:rsidRPr="22BD2857">
        <w:rPr>
          <w:rFonts w:eastAsia="Arial" w:cs="Arial"/>
          <w:color w:val="000000" w:themeColor="text1"/>
        </w:rPr>
        <w:t xml:space="preserve"> secure a minimum capacity and reduce the IVA applications.</w:t>
      </w:r>
    </w:p>
    <w:p w:rsidR="2A056BA6" w:rsidP="22BD2857" w:rsidRDefault="2A056BA6" w14:paraId="4FEFE6BD" w14:textId="0BC20391">
      <w:pPr>
        <w:spacing w:after="240"/>
        <w:rPr>
          <w:rFonts w:eastAsia="Arial" w:cs="Arial"/>
          <w:color w:val="000000" w:themeColor="text1"/>
        </w:rPr>
      </w:pPr>
    </w:p>
    <w:p w:rsidR="2A056BA6" w:rsidP="22BD2857" w:rsidRDefault="22BD2857" w14:paraId="6F3ECE8B" w14:textId="2A42AF5E">
      <w:pPr>
        <w:pStyle w:val="Listenabsatz"/>
        <w:rPr>
          <w:rFonts w:eastAsia="Arial"/>
          <w:color w:val="000000" w:themeColor="text1"/>
          <w:szCs w:val="20"/>
        </w:rPr>
      </w:pPr>
      <w:r w:rsidRPr="22BD2857">
        <w:rPr>
          <w:rFonts w:eastAsia="Arial"/>
          <w:color w:val="000000" w:themeColor="text1"/>
          <w:szCs w:val="20"/>
        </w:rPr>
        <w:t xml:space="preserve">Implementation of regional coordinated processes for security analysis </w:t>
      </w:r>
    </w:p>
    <w:p w:rsidR="2A056BA6" w:rsidP="22BD2857" w:rsidRDefault="22BD2857" w14:paraId="787B465E" w14:textId="3EC80D26">
      <w:pPr>
        <w:spacing w:after="240"/>
      </w:pPr>
      <w:r w:rsidRPr="22BD2857">
        <w:rPr>
          <w:rFonts w:eastAsia="Arial" w:cs="Arial"/>
          <w:color w:val="000000" w:themeColor="text1"/>
        </w:rPr>
        <w:t xml:space="preserve">The Articles 16(4) and 16(8) of the Regulation (EU) 2019/943 refers to the implementation of the coordinated capacity calculation and security analysis at regional level to ensure a minimum capacity available for cross-zonal trade. Though the capacity calculation using flow-based method in Core CCR is now an operational process, it is not enough to comply with the minimum available capacity requirements. The results of the </w:t>
      </w:r>
      <w:proofErr w:type="spellStart"/>
      <w:r w:rsidRPr="22BD2857">
        <w:rPr>
          <w:rFonts w:eastAsia="Arial" w:cs="Arial"/>
          <w:color w:val="000000" w:themeColor="text1"/>
        </w:rPr>
        <w:t>day-ahead</w:t>
      </w:r>
      <w:proofErr w:type="spellEnd"/>
      <w:r w:rsidRPr="22BD2857">
        <w:rPr>
          <w:rFonts w:eastAsia="Arial" w:cs="Arial"/>
          <w:color w:val="000000" w:themeColor="text1"/>
        </w:rPr>
        <w:t xml:space="preserve"> capacity calculation come with a lot of uncertainties without a coordinated security analysis implemented at a regional level before real-time. Not always the internal measures and remedial actions estimated as available for </w:t>
      </w:r>
      <w:proofErr w:type="spellStart"/>
      <w:r w:rsidRPr="22BD2857">
        <w:rPr>
          <w:rFonts w:eastAsia="Arial" w:cs="Arial"/>
          <w:color w:val="000000" w:themeColor="text1"/>
        </w:rPr>
        <w:t>day-ahead</w:t>
      </w:r>
      <w:proofErr w:type="spellEnd"/>
      <w:r w:rsidRPr="22BD2857">
        <w:rPr>
          <w:rFonts w:eastAsia="Arial" w:cs="Arial"/>
          <w:color w:val="000000" w:themeColor="text1"/>
        </w:rPr>
        <w:t xml:space="preserve"> capacity calculation are available and enough to maintain the system security in real-time.</w:t>
      </w:r>
    </w:p>
    <w:p w:rsidR="2A056BA6" w:rsidP="22BD2857" w:rsidRDefault="22BD2857" w14:paraId="58617A43" w14:textId="4B0D52E4">
      <w:pPr>
        <w:pStyle w:val="Listenabsatz"/>
        <w:rPr>
          <w:rFonts w:eastAsia="Arial"/>
          <w:color w:val="000000" w:themeColor="text1"/>
          <w:szCs w:val="20"/>
        </w:rPr>
      </w:pPr>
      <w:r w:rsidRPr="22BD2857">
        <w:rPr>
          <w:rFonts w:eastAsia="Arial"/>
          <w:color w:val="000000" w:themeColor="text1"/>
          <w:szCs w:val="20"/>
        </w:rPr>
        <w:t xml:space="preserve">Implementation of </w:t>
      </w:r>
      <w:proofErr w:type="spellStart"/>
      <w:r w:rsidRPr="22BD2857">
        <w:rPr>
          <w:rFonts w:eastAsia="Arial"/>
          <w:color w:val="000000" w:themeColor="text1"/>
          <w:szCs w:val="20"/>
        </w:rPr>
        <w:t>redispatching</w:t>
      </w:r>
      <w:proofErr w:type="spellEnd"/>
      <w:r w:rsidRPr="22BD2857">
        <w:rPr>
          <w:rFonts w:eastAsia="Arial"/>
          <w:color w:val="000000" w:themeColor="text1"/>
          <w:szCs w:val="20"/>
        </w:rPr>
        <w:t xml:space="preserve"> and countertrading processes implemented at regional level pursuant to Article 35 and 74 of Regulation (EU) 2015/1222.</w:t>
      </w:r>
    </w:p>
    <w:p w:rsidR="2A056BA6" w:rsidP="22BD2857" w:rsidRDefault="22BD2857" w14:paraId="12E826B6" w14:textId="178133EB">
      <w:pPr>
        <w:spacing w:after="240"/>
      </w:pPr>
      <w:r w:rsidRPr="22BD2857">
        <w:rPr>
          <w:rFonts w:eastAsia="Arial" w:cs="Arial"/>
          <w:color w:val="000000" w:themeColor="text1"/>
        </w:rPr>
        <w:t xml:space="preserve">The Article 16(4) of the Regulation (EU) 2019/943 stated that the </w:t>
      </w:r>
      <w:proofErr w:type="spellStart"/>
      <w:r w:rsidRPr="22BD2857">
        <w:rPr>
          <w:rFonts w:eastAsia="Arial" w:cs="Arial"/>
          <w:color w:val="000000" w:themeColor="text1"/>
        </w:rPr>
        <w:t>redispatching</w:t>
      </w:r>
      <w:proofErr w:type="spellEnd"/>
      <w:r w:rsidRPr="22BD2857">
        <w:rPr>
          <w:rFonts w:eastAsia="Arial" w:cs="Arial"/>
          <w:color w:val="000000" w:themeColor="text1"/>
        </w:rPr>
        <w:t xml:space="preserve"> and countertrading shall be used to maximize the available capacity to reach the minimum capacity provided for in Article 16(8) of the Regulation (EU) 2019/943. This process shall be coordinated and follow the implementation of cost-sharing methodology. At Core CCR level these processes are under implementation. Because of this </w:t>
      </w:r>
      <w:proofErr w:type="spellStart"/>
      <w:r w:rsidRPr="22BD2857">
        <w:rPr>
          <w:rFonts w:eastAsia="Arial" w:cs="Arial"/>
          <w:color w:val="000000" w:themeColor="text1"/>
        </w:rPr>
        <w:t>Transelectrica</w:t>
      </w:r>
      <w:proofErr w:type="spellEnd"/>
      <w:r w:rsidRPr="22BD2857">
        <w:rPr>
          <w:rFonts w:eastAsia="Arial" w:cs="Arial"/>
          <w:color w:val="000000" w:themeColor="text1"/>
        </w:rPr>
        <w:t xml:space="preserve"> applies an individual </w:t>
      </w:r>
      <w:proofErr w:type="spellStart"/>
      <w:r w:rsidRPr="22BD2857">
        <w:rPr>
          <w:rFonts w:eastAsia="Arial" w:cs="Arial"/>
          <w:color w:val="000000" w:themeColor="text1"/>
        </w:rPr>
        <w:t>redispatching</w:t>
      </w:r>
      <w:proofErr w:type="spellEnd"/>
      <w:r w:rsidRPr="22BD2857">
        <w:rPr>
          <w:rFonts w:eastAsia="Arial" w:cs="Arial"/>
          <w:color w:val="000000" w:themeColor="text1"/>
        </w:rPr>
        <w:t xml:space="preserve"> process aimed at achieving the minimum level of cross-zonal capacity as per national Action Plan. This is not always feasible due to the lack of sufficient remedial actions. </w:t>
      </w:r>
    </w:p>
    <w:p w:rsidR="2A056BA6" w:rsidP="22BD2857" w:rsidRDefault="22BD2857" w14:paraId="451D785E" w14:textId="01BA64A8">
      <w:pPr>
        <w:pStyle w:val="Listenabsatz"/>
        <w:rPr>
          <w:rFonts w:eastAsia="Arial"/>
          <w:color w:val="000000" w:themeColor="text1"/>
          <w:szCs w:val="20"/>
        </w:rPr>
      </w:pPr>
      <w:r w:rsidRPr="22BD2857">
        <w:rPr>
          <w:rFonts w:eastAsia="Arial"/>
          <w:color w:val="000000" w:themeColor="text1"/>
          <w:szCs w:val="20"/>
        </w:rPr>
        <w:t>Coordination between capacity calculation regions</w:t>
      </w:r>
    </w:p>
    <w:p w:rsidR="2A056BA6" w:rsidP="22BD2857" w:rsidRDefault="22BD2857" w14:paraId="3BAD6D2C" w14:textId="7BB203C6">
      <w:r w:rsidRPr="22BD2857">
        <w:rPr>
          <w:rFonts w:eastAsia="Arial" w:cs="Arial"/>
          <w:color w:val="000000" w:themeColor="text1"/>
        </w:rPr>
        <w:t xml:space="preserve">Besides Core CCR, </w:t>
      </w:r>
      <w:proofErr w:type="spellStart"/>
      <w:r w:rsidRPr="22BD2857">
        <w:rPr>
          <w:rFonts w:eastAsia="Arial" w:cs="Arial"/>
          <w:color w:val="000000" w:themeColor="text1"/>
        </w:rPr>
        <w:t>Transelectrica</w:t>
      </w:r>
      <w:proofErr w:type="spellEnd"/>
      <w:r w:rsidRPr="22BD2857">
        <w:rPr>
          <w:rFonts w:eastAsia="Arial" w:cs="Arial"/>
          <w:color w:val="000000" w:themeColor="text1"/>
        </w:rPr>
        <w:t xml:space="preserve"> SA is also part of SEE CCR with RO – BG border. Furthermore, for the three non-EU borders there is no coordinated capacity calculation. The exchanges on the borders with Bulgaria, Serbia, Ukraine and Republic of Moldova are considered as fixed in coordinated capacity </w:t>
      </w:r>
      <w:r w:rsidRPr="22BD2857">
        <w:rPr>
          <w:rFonts w:eastAsia="Arial" w:cs="Arial"/>
          <w:color w:val="000000" w:themeColor="text1"/>
        </w:rPr>
        <w:lastRenderedPageBreak/>
        <w:t xml:space="preserve">calculation from Core CCR.  Any deviation from these values forecasted two days ahead will create a different loading on the critical network element with risks for the operational security of the system. Because of this, lack of cross-CCR coordination becomes critical for Romania in cases with high export from the southeast part of Continental Europe towards the central area. These uncoordinated transits through Romania correlated with high generation in the wind and hydro power plants from the south part of Romania lead to increasing the power flows on the 220 kV network in the southwest part of the country. These transits create (N-1) violations in the transmission grid which cannot be addressed without coordinated remedial actions for </w:t>
      </w:r>
      <w:proofErr w:type="spellStart"/>
      <w:r w:rsidRPr="22BD2857">
        <w:rPr>
          <w:rFonts w:eastAsia="Arial" w:cs="Arial"/>
          <w:color w:val="000000" w:themeColor="text1"/>
        </w:rPr>
        <w:t>redispatching</w:t>
      </w:r>
      <w:proofErr w:type="spellEnd"/>
      <w:r w:rsidRPr="22BD2857">
        <w:rPr>
          <w:rFonts w:eastAsia="Arial" w:cs="Arial"/>
          <w:color w:val="000000" w:themeColor="text1"/>
        </w:rPr>
        <w:t xml:space="preserve"> and countertrading.</w:t>
      </w:r>
    </w:p>
    <w:p w:rsidR="2A056BA6" w:rsidP="22BD2857" w:rsidRDefault="2A056BA6" w14:paraId="4D6B47DA" w14:textId="0F54BAEF">
      <w:pPr>
        <w:rPr>
          <w:rFonts w:eastAsia="Arial" w:cs="Arial"/>
          <w:lang w:val="en-GB"/>
        </w:rPr>
      </w:pPr>
    </w:p>
    <w:p w:rsidR="2A056BA6" w:rsidP="2A056BA6" w:rsidRDefault="2A056BA6" w14:paraId="05EA5A42" w14:textId="20448149"/>
    <w:p w:rsidR="418B4A05" w:rsidP="418B4A05" w:rsidRDefault="418B4A05" w14:paraId="42FDAB33" w14:textId="3EF6EE19"/>
    <w:sectPr w:rsidR="418B4A05" w:rsidSect="00544905">
      <w:headerReference w:type="even" r:id="rId12"/>
      <w:headerReference w:type="default" r:id="rId13"/>
      <w:footerReference w:type="even" r:id="rId14"/>
      <w:footerReference w:type="default" r:id="rId15"/>
      <w:headerReference w:type="first" r:id="rId16"/>
      <w:pgSz w:w="11906" w:h="16838" w:orient="portrait"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70806" w:rsidP="00B7680D" w:rsidRDefault="00470806" w14:paraId="361977FE" w14:textId="77777777">
      <w:pPr>
        <w:spacing w:line="240" w:lineRule="auto"/>
      </w:pPr>
      <w:r>
        <w:separator/>
      </w:r>
    </w:p>
    <w:p w:rsidR="00470806" w:rsidRDefault="00470806" w14:paraId="0A1D2784" w14:textId="77777777"/>
  </w:endnote>
  <w:endnote w:type="continuationSeparator" w:id="0">
    <w:p w:rsidR="00470806" w:rsidP="00B7680D" w:rsidRDefault="00470806" w14:paraId="558D5625" w14:textId="77777777">
      <w:pPr>
        <w:spacing w:line="240" w:lineRule="auto"/>
      </w:pPr>
      <w:r>
        <w:continuationSeparator/>
      </w:r>
    </w:p>
    <w:p w:rsidR="00470806" w:rsidRDefault="00470806" w14:paraId="2A2EA3A8" w14:textId="77777777"/>
  </w:endnote>
  <w:endnote w:type="continuationNotice" w:id="1">
    <w:p w:rsidR="00470806" w:rsidRDefault="00470806" w14:paraId="4516F9DC" w14:textId="77777777">
      <w:pPr>
        <w:spacing w:line="240" w:lineRule="auto"/>
      </w:pPr>
    </w:p>
    <w:p w:rsidR="00470806" w:rsidRDefault="00470806" w14:paraId="1D7C3D0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6D05" w:rsidRDefault="00976D05" w14:paraId="43C0EDE6" w14:textId="77777777">
    <w:pPr>
      <w:pStyle w:val="Fuzeile"/>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6D05" w:rsidP="00B917C5" w:rsidRDefault="00976D05" w14:paraId="46DC043E" w14:textId="5FB2C7DB">
    <w:pPr>
      <w:pStyle w:val="Fuzeile"/>
    </w:pPr>
    <w:r w:rsidRPr="00727CF7">
      <w:t xml:space="preserve">Page </w:t>
    </w:r>
    <w:r w:rsidRPr="00727CF7">
      <w:fldChar w:fldCharType="begin"/>
    </w:r>
    <w:r w:rsidRPr="00727CF7">
      <w:instrText>PAGE   \* MERGEFORMAT</w:instrText>
    </w:r>
    <w:r w:rsidRPr="00727CF7">
      <w:fldChar w:fldCharType="separate"/>
    </w:r>
    <w:r w:rsidR="00DC17B4">
      <w:rPr>
        <w:noProof/>
      </w:rPr>
      <w:t>9</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C17B4">
      <w:rPr>
        <w:noProof/>
      </w:rPr>
      <w:t>13</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70806" w:rsidP="00B7680D" w:rsidRDefault="00470806" w14:paraId="7C658FD0" w14:textId="77777777">
      <w:pPr>
        <w:spacing w:line="240" w:lineRule="auto"/>
      </w:pPr>
      <w:r>
        <w:separator/>
      </w:r>
    </w:p>
    <w:p w:rsidR="00470806" w:rsidRDefault="00470806" w14:paraId="5F4B2907" w14:textId="77777777"/>
  </w:footnote>
  <w:footnote w:type="continuationSeparator" w:id="0">
    <w:p w:rsidR="00470806" w:rsidP="00B7680D" w:rsidRDefault="00470806" w14:paraId="697113C8" w14:textId="77777777">
      <w:pPr>
        <w:spacing w:line="240" w:lineRule="auto"/>
      </w:pPr>
      <w:r>
        <w:continuationSeparator/>
      </w:r>
    </w:p>
    <w:p w:rsidR="00470806" w:rsidRDefault="00470806" w14:paraId="3210E135" w14:textId="77777777"/>
  </w:footnote>
  <w:footnote w:type="continuationNotice" w:id="1">
    <w:p w:rsidR="00470806" w:rsidRDefault="00470806" w14:paraId="2C712EA4" w14:textId="77777777">
      <w:pPr>
        <w:spacing w:line="240" w:lineRule="auto"/>
      </w:pPr>
    </w:p>
    <w:p w:rsidR="00470806" w:rsidRDefault="00470806" w14:paraId="0D171E8D" w14:textId="77777777"/>
  </w:footnote>
  <w:footnote w:id="2">
    <w:p w:rsidRPr="00075F51" w:rsidR="00655648" w:rsidP="00655648" w:rsidRDefault="00655648" w14:paraId="4659523C" w14:textId="77777777">
      <w:pPr>
        <w:pStyle w:val="Funotentext"/>
        <w:rPr>
          <w:i/>
          <w:iCs/>
        </w:rPr>
      </w:pPr>
      <w:r w:rsidRPr="629731F1">
        <w:rPr>
          <w:rStyle w:val="Funotenzeichen"/>
        </w:rPr>
        <w:footnoteRef/>
      </w:r>
      <w:r>
        <w:t xml:space="preserve"> </w:t>
      </w:r>
      <w:hyperlink w:history="1" r:id="rId1">
        <w:r w:rsidRPr="00C3668F">
          <w:rPr>
            <w:rStyle w:val="Hyperlink"/>
            <w:i/>
            <w:iCs/>
            <w:color w:val="000000" w:themeColor="text1"/>
            <w:u w:val="none"/>
          </w:rPr>
          <w:t xml:space="preserve">REPORT OF THE GERMAN TRANSMISSION SYSTEM OPERATORS ON AVAILABLE CROSS-ZONAL CAPACITY FOR THE YEAR 2023 PURSUANT TO ARTICLE 15(4) INTERNAL MARKET FOR ELECTRICITY REGULATION (EU) 2019/943; </w:t>
        </w:r>
      </w:hyperlink>
      <w:r w:rsidRPr="00075F51">
        <w:rPr>
          <w:i/>
          <w:iCs/>
        </w:rPr>
        <w:t xml:space="preserve"> </w:t>
      </w:r>
      <w:r>
        <w:rPr>
          <w:i/>
          <w:iCs/>
        </w:rPr>
        <w:t>URL:</w:t>
      </w:r>
      <w:r w:rsidRPr="004B023F">
        <w:t xml:space="preserve"> </w:t>
      </w:r>
      <w:r w:rsidRPr="009042B6">
        <w:rPr>
          <w:rStyle w:val="Hyperlink"/>
          <w:rFonts w:eastAsia="Arial" w:cs="Arial"/>
          <w:lang w:val="en-IE"/>
        </w:rPr>
        <w:t>https://www.netztransparenz.de/en/Electricity-market-design/Clean-Energy-Package</w:t>
      </w:r>
    </w:p>
  </w:footnote>
  <w:footnote w:id="3">
    <w:p w:rsidRPr="00F3351A" w:rsidR="00655648" w:rsidP="00655648" w:rsidRDefault="00655648" w14:paraId="6BB49B31" w14:textId="77777777">
      <w:pPr>
        <w:spacing w:after="200" w:line="276" w:lineRule="auto"/>
        <w:jc w:val="left"/>
        <w:rPr>
          <w:i/>
          <w:iCs/>
        </w:rPr>
      </w:pPr>
      <w:r>
        <w:rPr>
          <w:rStyle w:val="Funotenzeichen"/>
        </w:rPr>
        <w:footnoteRef/>
      </w:r>
      <w:r>
        <w:t xml:space="preserve"> </w:t>
      </w:r>
      <w:r w:rsidRPr="64E726F3">
        <w:rPr>
          <w:rFonts w:eastAsia="Arial" w:cs="Arial"/>
        </w:rPr>
        <w:t xml:space="preserve"> </w:t>
      </w:r>
      <w:r w:rsidRPr="00F3351A">
        <w:rPr>
          <w:rFonts w:eastAsia="Arial" w:cs="Arial"/>
          <w:i/>
          <w:iCs/>
        </w:rPr>
        <w:t xml:space="preserve">Federal Ministry for Economic Affairs and Climate Action (2020): Action Plan Bidding Zone; URL: </w:t>
      </w:r>
      <w:hyperlink w:history="1" r:id="rId2">
        <w:r w:rsidRPr="00F3351A">
          <w:rPr>
            <w:rStyle w:val="Hyperlink"/>
            <w:rFonts w:eastAsia="Arial" w:cs="Arial"/>
            <w:i/>
            <w:iCs/>
          </w:rPr>
          <w:t>https://www.bmwk.de/Redaktion/EN/Downloads/a/action-plan-bidding-zone.html</w:t>
        </w:r>
      </w:hyperlink>
    </w:p>
    <w:p w:rsidRPr="00F3351A" w:rsidR="00655648" w:rsidP="00655648" w:rsidRDefault="00655648" w14:paraId="0AB28703" w14:textId="77777777">
      <w:pPr>
        <w:pStyle w:val="Funotentext"/>
        <w:rPr>
          <w:i/>
          <w:iCs/>
          <w:lang w:val="en-US"/>
        </w:rPr>
      </w:pPr>
    </w:p>
  </w:footnote>
  <w:footnote w:id="4">
    <w:p w:rsidR="00655648" w:rsidP="00655648" w:rsidRDefault="00655648" w14:paraId="7DF23A41" w14:textId="77777777">
      <w:pPr>
        <w:spacing w:after="200" w:line="276" w:lineRule="auto"/>
        <w:jc w:val="left"/>
      </w:pPr>
      <w:r>
        <w:rPr>
          <w:rStyle w:val="Funotenzeichen"/>
        </w:rPr>
        <w:footnoteRef/>
      </w:r>
      <w:r>
        <w:t xml:space="preserve"> </w:t>
      </w:r>
      <w:r w:rsidRPr="64E726F3">
        <w:rPr>
          <w:rFonts w:eastAsia="Arial" w:cs="Arial"/>
        </w:rPr>
        <w:t xml:space="preserve">50Hertz Transmission GmbH, Amprion GmbH, </w:t>
      </w:r>
      <w:proofErr w:type="spellStart"/>
      <w:r w:rsidRPr="64E726F3">
        <w:rPr>
          <w:rFonts w:eastAsia="Arial" w:cs="Arial"/>
        </w:rPr>
        <w:t>Tennet</w:t>
      </w:r>
      <w:proofErr w:type="spellEnd"/>
      <w:r w:rsidRPr="64E726F3">
        <w:rPr>
          <w:rFonts w:eastAsia="Arial" w:cs="Arial"/>
        </w:rPr>
        <w:t xml:space="preserve"> TSO GmbH, TransnetBW </w:t>
      </w:r>
      <w:proofErr w:type="gramStart"/>
      <w:r w:rsidRPr="64E726F3">
        <w:rPr>
          <w:rFonts w:eastAsia="Arial" w:cs="Arial"/>
        </w:rPr>
        <w:t>GmbH  (</w:t>
      </w:r>
      <w:proofErr w:type="gramEnd"/>
      <w:r w:rsidRPr="64E726F3">
        <w:rPr>
          <w:rFonts w:eastAsia="Arial" w:cs="Arial"/>
        </w:rPr>
        <w:t>2023): Grid Development Plan Electricity 2037/2045 – 2</w:t>
      </w:r>
      <w:r w:rsidRPr="64E726F3">
        <w:rPr>
          <w:rFonts w:eastAsia="Arial" w:cs="Arial"/>
          <w:vertAlign w:val="superscript"/>
        </w:rPr>
        <w:t>nd</w:t>
      </w:r>
      <w:r w:rsidRPr="64E726F3">
        <w:rPr>
          <w:rFonts w:eastAsia="Arial" w:cs="Arial"/>
        </w:rPr>
        <w:t xml:space="preserve"> Draft; URL: </w:t>
      </w:r>
      <w:hyperlink r:id="rId3">
        <w:r w:rsidRPr="64E726F3">
          <w:rPr>
            <w:rStyle w:val="Hyperlink"/>
            <w:rFonts w:eastAsia="Arial" w:cs="Arial"/>
            <w:color w:val="3F3F3F"/>
          </w:rPr>
          <w:t>https://www.netzentwicklungsplan.de/en/front</w:t>
        </w:r>
      </w:hyperlink>
    </w:p>
    <w:p w:rsidRPr="00075F51" w:rsidR="00655648" w:rsidP="00655648" w:rsidRDefault="00655648" w14:paraId="50B1CA58" w14:textId="77777777">
      <w:pPr>
        <w:pStyle w:val="Funoten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6D05" w:rsidRDefault="00976D05" w14:paraId="2B88AEE6" w14:textId="77777777">
    <w:pPr>
      <w:pStyle w:val="Kopfzeile"/>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756BF1" w:rsidR="00976D05" w:rsidP="00544905" w:rsidRDefault="00976D05" w14:paraId="71CF049F" w14:textId="77777777">
    <w:pPr>
      <w:pStyle w:val="Kopfzeile"/>
    </w:pPr>
    <w:r>
      <w:rPr>
        <w:noProof/>
        <w:lang w:val="hr-HR" w:eastAsia="hr-HR"/>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8B4FC2" w:rsidR="00976D05" w:rsidP="008B4FC2" w:rsidRDefault="008B4FC2" w14:paraId="75362D0B" w14:textId="01152B2A">
    <w:pPr>
      <w:pStyle w:val="Kopfzeile"/>
      <w:jc w:val="both"/>
      <w:rPr>
        <w:b/>
        <w:color w:val="3366FF"/>
        <w:sz w:val="24"/>
      </w:rPr>
    </w:pPr>
    <w:r w:rsidRPr="008B4FC2">
      <w:rPr>
        <w:b/>
        <w:noProof/>
        <w:color w:val="3366FF"/>
        <w:sz w:val="24"/>
        <w:lang w:val="hr-HR" w:eastAsia="hr-HR"/>
      </w:rPr>
      <w:drawing>
        <wp:inline distT="0" distB="0" distL="0" distR="0" wp14:anchorId="73EFAE62" wp14:editId="45DF4185">
          <wp:extent cx="5904230" cy="652145"/>
          <wp:effectExtent l="0" t="0" r="1270" b="0"/>
          <wp:docPr id="1068478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478951"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4">
    <w:nsid w:val="2ce6ba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419eebc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b904fe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5e5b086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89"/>
    <w:multiLevelType w:val="singleLevel"/>
    <w:tmpl w:val="D2689436"/>
    <w:lvl w:ilvl="0">
      <w:start w:val="1"/>
      <w:numFmt w:val="bullet"/>
      <w:pStyle w:val="Aufzhlungszeichen"/>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berschrift1"/>
      <w:lvlText w:val="%1."/>
      <w:lvlJc w:val="left"/>
      <w:pPr>
        <w:tabs>
          <w:tab w:val="num" w:pos="0"/>
        </w:tabs>
        <w:ind w:left="0" w:firstLine="0"/>
      </w:pPr>
      <w:rPr>
        <w:rFonts w:ascii="Arial" w:hAnsi="Arial" w:cs="Arial" w:eastAsiaTheme="minorHAnsi"/>
        <w:sz w:val="20"/>
        <w:szCs w:val="20"/>
      </w:rPr>
    </w:lvl>
    <w:lvl w:ilvl="1">
      <w:start w:val="1"/>
      <w:numFmt w:val="decimal"/>
      <w:pStyle w:val="berschrift2"/>
      <w:lvlText w:val="%1.%2."/>
      <w:lvlJc w:val="left"/>
      <w:pPr>
        <w:tabs>
          <w:tab w:val="num" w:pos="0"/>
        </w:tabs>
        <w:ind w:left="0" w:firstLine="0"/>
      </w:pPr>
      <w:rPr>
        <w:rFonts w:hint="default"/>
        <w:sz w:val="20"/>
        <w:szCs w:val="20"/>
      </w:rPr>
    </w:lvl>
    <w:lvl w:ilvl="2">
      <w:start w:val="1"/>
      <w:numFmt w:val="decimal"/>
      <w:pStyle w:val="berschrift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72D5672"/>
    <w:multiLevelType w:val="hybridMultilevel"/>
    <w:tmpl w:val="94BEAE2E"/>
    <w:lvl w:ilvl="0" w:tplc="8BCA596A">
      <w:start w:val="1"/>
      <w:numFmt w:val="bullet"/>
      <w:lvlText w:val="·"/>
      <w:lvlJc w:val="left"/>
      <w:pPr>
        <w:ind w:left="720" w:hanging="360"/>
      </w:pPr>
      <w:rPr>
        <w:rFonts w:hint="default" w:ascii="Symbol" w:hAnsi="Symbol"/>
      </w:rPr>
    </w:lvl>
    <w:lvl w:ilvl="1" w:tplc="D26291A6">
      <w:start w:val="1"/>
      <w:numFmt w:val="bullet"/>
      <w:lvlText w:val="o"/>
      <w:lvlJc w:val="left"/>
      <w:pPr>
        <w:ind w:left="1440" w:hanging="360"/>
      </w:pPr>
      <w:rPr>
        <w:rFonts w:hint="default" w:ascii="Courier New" w:hAnsi="Courier New"/>
      </w:rPr>
    </w:lvl>
    <w:lvl w:ilvl="2" w:tplc="0A0E1544">
      <w:start w:val="1"/>
      <w:numFmt w:val="bullet"/>
      <w:lvlText w:val=""/>
      <w:lvlJc w:val="left"/>
      <w:pPr>
        <w:ind w:left="2160" w:hanging="360"/>
      </w:pPr>
      <w:rPr>
        <w:rFonts w:hint="default" w:ascii="Wingdings" w:hAnsi="Wingdings"/>
      </w:rPr>
    </w:lvl>
    <w:lvl w:ilvl="3" w:tplc="2E340B96">
      <w:start w:val="1"/>
      <w:numFmt w:val="bullet"/>
      <w:lvlText w:val=""/>
      <w:lvlJc w:val="left"/>
      <w:pPr>
        <w:ind w:left="2880" w:hanging="360"/>
      </w:pPr>
      <w:rPr>
        <w:rFonts w:hint="default" w:ascii="Symbol" w:hAnsi="Symbol"/>
      </w:rPr>
    </w:lvl>
    <w:lvl w:ilvl="4" w:tplc="B4CC85D8">
      <w:start w:val="1"/>
      <w:numFmt w:val="bullet"/>
      <w:lvlText w:val="o"/>
      <w:lvlJc w:val="left"/>
      <w:pPr>
        <w:ind w:left="3600" w:hanging="360"/>
      </w:pPr>
      <w:rPr>
        <w:rFonts w:hint="default" w:ascii="Courier New" w:hAnsi="Courier New"/>
      </w:rPr>
    </w:lvl>
    <w:lvl w:ilvl="5" w:tplc="557625FA">
      <w:start w:val="1"/>
      <w:numFmt w:val="bullet"/>
      <w:lvlText w:val=""/>
      <w:lvlJc w:val="left"/>
      <w:pPr>
        <w:ind w:left="4320" w:hanging="360"/>
      </w:pPr>
      <w:rPr>
        <w:rFonts w:hint="default" w:ascii="Wingdings" w:hAnsi="Wingdings"/>
      </w:rPr>
    </w:lvl>
    <w:lvl w:ilvl="6" w:tplc="60E80860">
      <w:start w:val="1"/>
      <w:numFmt w:val="bullet"/>
      <w:lvlText w:val=""/>
      <w:lvlJc w:val="left"/>
      <w:pPr>
        <w:ind w:left="5040" w:hanging="360"/>
      </w:pPr>
      <w:rPr>
        <w:rFonts w:hint="default" w:ascii="Symbol" w:hAnsi="Symbol"/>
      </w:rPr>
    </w:lvl>
    <w:lvl w:ilvl="7" w:tplc="BBFE9D00">
      <w:start w:val="1"/>
      <w:numFmt w:val="bullet"/>
      <w:lvlText w:val="o"/>
      <w:lvlJc w:val="left"/>
      <w:pPr>
        <w:ind w:left="5760" w:hanging="360"/>
      </w:pPr>
      <w:rPr>
        <w:rFonts w:hint="default" w:ascii="Courier New" w:hAnsi="Courier New"/>
      </w:rPr>
    </w:lvl>
    <w:lvl w:ilvl="8" w:tplc="77BA760A">
      <w:start w:val="1"/>
      <w:numFmt w:val="bullet"/>
      <w:lvlText w:val=""/>
      <w:lvlJc w:val="left"/>
      <w:pPr>
        <w:ind w:left="6480" w:hanging="360"/>
      </w:pPr>
      <w:rPr>
        <w:rFonts w:hint="default" w:ascii="Wingdings" w:hAnsi="Wingdings"/>
      </w:rPr>
    </w:lvl>
  </w:abstractNum>
  <w:abstractNum w:abstractNumId="3" w15:restartNumberingAfterBreak="0">
    <w:nsid w:val="07BE4FA1"/>
    <w:multiLevelType w:val="hybridMultilevel"/>
    <w:tmpl w:val="F9303AD0"/>
    <w:lvl w:ilvl="0" w:tplc="A3BE3850">
      <w:start w:val="1"/>
      <w:numFmt w:val="bullet"/>
      <w:lvlText w:val="·"/>
      <w:lvlJc w:val="left"/>
      <w:pPr>
        <w:ind w:left="720" w:hanging="360"/>
      </w:pPr>
      <w:rPr>
        <w:rFonts w:hint="default" w:ascii="Symbol" w:hAnsi="Symbol"/>
      </w:rPr>
    </w:lvl>
    <w:lvl w:ilvl="1" w:tplc="D7043BEE">
      <w:start w:val="1"/>
      <w:numFmt w:val="bullet"/>
      <w:lvlText w:val="o"/>
      <w:lvlJc w:val="left"/>
      <w:pPr>
        <w:ind w:left="1440" w:hanging="360"/>
      </w:pPr>
      <w:rPr>
        <w:rFonts w:hint="default" w:ascii="Courier New" w:hAnsi="Courier New"/>
      </w:rPr>
    </w:lvl>
    <w:lvl w:ilvl="2" w:tplc="904AC84A">
      <w:start w:val="1"/>
      <w:numFmt w:val="bullet"/>
      <w:lvlText w:val=""/>
      <w:lvlJc w:val="left"/>
      <w:pPr>
        <w:ind w:left="2160" w:hanging="360"/>
      </w:pPr>
      <w:rPr>
        <w:rFonts w:hint="default" w:ascii="Wingdings" w:hAnsi="Wingdings"/>
      </w:rPr>
    </w:lvl>
    <w:lvl w:ilvl="3" w:tplc="5638F3F0">
      <w:start w:val="1"/>
      <w:numFmt w:val="bullet"/>
      <w:lvlText w:val=""/>
      <w:lvlJc w:val="left"/>
      <w:pPr>
        <w:ind w:left="2880" w:hanging="360"/>
      </w:pPr>
      <w:rPr>
        <w:rFonts w:hint="default" w:ascii="Symbol" w:hAnsi="Symbol"/>
      </w:rPr>
    </w:lvl>
    <w:lvl w:ilvl="4" w:tplc="E7DEBAEC">
      <w:start w:val="1"/>
      <w:numFmt w:val="bullet"/>
      <w:lvlText w:val="o"/>
      <w:lvlJc w:val="left"/>
      <w:pPr>
        <w:ind w:left="3600" w:hanging="360"/>
      </w:pPr>
      <w:rPr>
        <w:rFonts w:hint="default" w:ascii="Courier New" w:hAnsi="Courier New"/>
      </w:rPr>
    </w:lvl>
    <w:lvl w:ilvl="5" w:tplc="8B48CE46">
      <w:start w:val="1"/>
      <w:numFmt w:val="bullet"/>
      <w:lvlText w:val=""/>
      <w:lvlJc w:val="left"/>
      <w:pPr>
        <w:ind w:left="4320" w:hanging="360"/>
      </w:pPr>
      <w:rPr>
        <w:rFonts w:hint="default" w:ascii="Wingdings" w:hAnsi="Wingdings"/>
      </w:rPr>
    </w:lvl>
    <w:lvl w:ilvl="6" w:tplc="128E295A">
      <w:start w:val="1"/>
      <w:numFmt w:val="bullet"/>
      <w:lvlText w:val=""/>
      <w:lvlJc w:val="left"/>
      <w:pPr>
        <w:ind w:left="5040" w:hanging="360"/>
      </w:pPr>
      <w:rPr>
        <w:rFonts w:hint="default" w:ascii="Symbol" w:hAnsi="Symbol"/>
      </w:rPr>
    </w:lvl>
    <w:lvl w:ilvl="7" w:tplc="B47697EC">
      <w:start w:val="1"/>
      <w:numFmt w:val="bullet"/>
      <w:lvlText w:val="o"/>
      <w:lvlJc w:val="left"/>
      <w:pPr>
        <w:ind w:left="5760" w:hanging="360"/>
      </w:pPr>
      <w:rPr>
        <w:rFonts w:hint="default" w:ascii="Courier New" w:hAnsi="Courier New"/>
      </w:rPr>
    </w:lvl>
    <w:lvl w:ilvl="8" w:tplc="A17696EC">
      <w:start w:val="1"/>
      <w:numFmt w:val="bullet"/>
      <w:lvlText w:val=""/>
      <w:lvlJc w:val="left"/>
      <w:pPr>
        <w:ind w:left="6480" w:hanging="360"/>
      </w:pPr>
      <w:rPr>
        <w:rFonts w:hint="default" w:ascii="Wingdings" w:hAnsi="Wingdings"/>
      </w:rPr>
    </w:lvl>
  </w:abstractNum>
  <w:abstractNum w:abstractNumId="4" w15:restartNumberingAfterBreak="0">
    <w:nsid w:val="08A7E50E"/>
    <w:multiLevelType w:val="hybridMultilevel"/>
    <w:tmpl w:val="B02E7A5C"/>
    <w:lvl w:ilvl="0" w:tplc="811A347E">
      <w:start w:val="1"/>
      <w:numFmt w:val="bullet"/>
      <w:lvlText w:val="·"/>
      <w:lvlJc w:val="left"/>
      <w:pPr>
        <w:ind w:left="720" w:hanging="360"/>
      </w:pPr>
      <w:rPr>
        <w:rFonts w:hint="default" w:ascii="Symbol" w:hAnsi="Symbol"/>
      </w:rPr>
    </w:lvl>
    <w:lvl w:ilvl="1" w:tplc="2834C6A2">
      <w:start w:val="1"/>
      <w:numFmt w:val="bullet"/>
      <w:lvlText w:val="o"/>
      <w:lvlJc w:val="left"/>
      <w:pPr>
        <w:ind w:left="1440" w:hanging="360"/>
      </w:pPr>
      <w:rPr>
        <w:rFonts w:hint="default" w:ascii="Courier New" w:hAnsi="Courier New"/>
      </w:rPr>
    </w:lvl>
    <w:lvl w:ilvl="2" w:tplc="CEF6707C">
      <w:start w:val="1"/>
      <w:numFmt w:val="bullet"/>
      <w:lvlText w:val=""/>
      <w:lvlJc w:val="left"/>
      <w:pPr>
        <w:ind w:left="2160" w:hanging="360"/>
      </w:pPr>
      <w:rPr>
        <w:rFonts w:hint="default" w:ascii="Wingdings" w:hAnsi="Wingdings"/>
      </w:rPr>
    </w:lvl>
    <w:lvl w:ilvl="3" w:tplc="D9DA0942">
      <w:start w:val="1"/>
      <w:numFmt w:val="bullet"/>
      <w:lvlText w:val=""/>
      <w:lvlJc w:val="left"/>
      <w:pPr>
        <w:ind w:left="2880" w:hanging="360"/>
      </w:pPr>
      <w:rPr>
        <w:rFonts w:hint="default" w:ascii="Symbol" w:hAnsi="Symbol"/>
      </w:rPr>
    </w:lvl>
    <w:lvl w:ilvl="4" w:tplc="673CF228">
      <w:start w:val="1"/>
      <w:numFmt w:val="bullet"/>
      <w:lvlText w:val="o"/>
      <w:lvlJc w:val="left"/>
      <w:pPr>
        <w:ind w:left="3600" w:hanging="360"/>
      </w:pPr>
      <w:rPr>
        <w:rFonts w:hint="default" w:ascii="Courier New" w:hAnsi="Courier New"/>
      </w:rPr>
    </w:lvl>
    <w:lvl w:ilvl="5" w:tplc="826CCA5C">
      <w:start w:val="1"/>
      <w:numFmt w:val="bullet"/>
      <w:lvlText w:val=""/>
      <w:lvlJc w:val="left"/>
      <w:pPr>
        <w:ind w:left="4320" w:hanging="360"/>
      </w:pPr>
      <w:rPr>
        <w:rFonts w:hint="default" w:ascii="Wingdings" w:hAnsi="Wingdings"/>
      </w:rPr>
    </w:lvl>
    <w:lvl w:ilvl="6" w:tplc="E850DCEE">
      <w:start w:val="1"/>
      <w:numFmt w:val="bullet"/>
      <w:lvlText w:val=""/>
      <w:lvlJc w:val="left"/>
      <w:pPr>
        <w:ind w:left="5040" w:hanging="360"/>
      </w:pPr>
      <w:rPr>
        <w:rFonts w:hint="default" w:ascii="Symbol" w:hAnsi="Symbol"/>
      </w:rPr>
    </w:lvl>
    <w:lvl w:ilvl="7" w:tplc="27F43AC4">
      <w:start w:val="1"/>
      <w:numFmt w:val="bullet"/>
      <w:lvlText w:val="o"/>
      <w:lvlJc w:val="left"/>
      <w:pPr>
        <w:ind w:left="5760" w:hanging="360"/>
      </w:pPr>
      <w:rPr>
        <w:rFonts w:hint="default" w:ascii="Courier New" w:hAnsi="Courier New"/>
      </w:rPr>
    </w:lvl>
    <w:lvl w:ilvl="8" w:tplc="BC929D26">
      <w:start w:val="1"/>
      <w:numFmt w:val="bullet"/>
      <w:lvlText w:val=""/>
      <w:lvlJc w:val="left"/>
      <w:pPr>
        <w:ind w:left="6480" w:hanging="360"/>
      </w:pPr>
      <w:rPr>
        <w:rFonts w:hint="default" w:ascii="Wingdings" w:hAnsi="Wingdings"/>
      </w:rPr>
    </w:lvl>
  </w:abstractNum>
  <w:abstractNum w:abstractNumId="5"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6" w15:restartNumberingAfterBreak="0">
    <w:nsid w:val="1215071A"/>
    <w:multiLevelType w:val="hybridMultilevel"/>
    <w:tmpl w:val="B1967716"/>
    <w:lvl w:ilvl="0" w:tplc="FBDEFFDC">
      <w:start w:val="1"/>
      <w:numFmt w:val="bullet"/>
      <w:lvlText w:val="·"/>
      <w:lvlJc w:val="left"/>
      <w:pPr>
        <w:ind w:left="720" w:hanging="360"/>
      </w:pPr>
      <w:rPr>
        <w:rFonts w:hint="default" w:ascii="Symbol" w:hAnsi="Symbol"/>
      </w:rPr>
    </w:lvl>
    <w:lvl w:ilvl="1" w:tplc="350215D2">
      <w:start w:val="1"/>
      <w:numFmt w:val="bullet"/>
      <w:lvlText w:val="o"/>
      <w:lvlJc w:val="left"/>
      <w:pPr>
        <w:ind w:left="1440" w:hanging="360"/>
      </w:pPr>
      <w:rPr>
        <w:rFonts w:hint="default" w:ascii="Courier New" w:hAnsi="Courier New"/>
      </w:rPr>
    </w:lvl>
    <w:lvl w:ilvl="2" w:tplc="9A9C0382">
      <w:start w:val="1"/>
      <w:numFmt w:val="bullet"/>
      <w:lvlText w:val=""/>
      <w:lvlJc w:val="left"/>
      <w:pPr>
        <w:ind w:left="2160" w:hanging="360"/>
      </w:pPr>
      <w:rPr>
        <w:rFonts w:hint="default" w:ascii="Wingdings" w:hAnsi="Wingdings"/>
      </w:rPr>
    </w:lvl>
    <w:lvl w:ilvl="3" w:tplc="F5E2AAEA">
      <w:start w:val="1"/>
      <w:numFmt w:val="bullet"/>
      <w:lvlText w:val=""/>
      <w:lvlJc w:val="left"/>
      <w:pPr>
        <w:ind w:left="2880" w:hanging="360"/>
      </w:pPr>
      <w:rPr>
        <w:rFonts w:hint="default" w:ascii="Symbol" w:hAnsi="Symbol"/>
      </w:rPr>
    </w:lvl>
    <w:lvl w:ilvl="4" w:tplc="700263E6">
      <w:start w:val="1"/>
      <w:numFmt w:val="bullet"/>
      <w:lvlText w:val="o"/>
      <w:lvlJc w:val="left"/>
      <w:pPr>
        <w:ind w:left="3600" w:hanging="360"/>
      </w:pPr>
      <w:rPr>
        <w:rFonts w:hint="default" w:ascii="Courier New" w:hAnsi="Courier New"/>
      </w:rPr>
    </w:lvl>
    <w:lvl w:ilvl="5" w:tplc="FEC226CE">
      <w:start w:val="1"/>
      <w:numFmt w:val="bullet"/>
      <w:lvlText w:val=""/>
      <w:lvlJc w:val="left"/>
      <w:pPr>
        <w:ind w:left="4320" w:hanging="360"/>
      </w:pPr>
      <w:rPr>
        <w:rFonts w:hint="default" w:ascii="Wingdings" w:hAnsi="Wingdings"/>
      </w:rPr>
    </w:lvl>
    <w:lvl w:ilvl="6" w:tplc="1F1E1412">
      <w:start w:val="1"/>
      <w:numFmt w:val="bullet"/>
      <w:lvlText w:val=""/>
      <w:lvlJc w:val="left"/>
      <w:pPr>
        <w:ind w:left="5040" w:hanging="360"/>
      </w:pPr>
      <w:rPr>
        <w:rFonts w:hint="default" w:ascii="Symbol" w:hAnsi="Symbol"/>
      </w:rPr>
    </w:lvl>
    <w:lvl w:ilvl="7" w:tplc="5DB2DC54">
      <w:start w:val="1"/>
      <w:numFmt w:val="bullet"/>
      <w:lvlText w:val="o"/>
      <w:lvlJc w:val="left"/>
      <w:pPr>
        <w:ind w:left="5760" w:hanging="360"/>
      </w:pPr>
      <w:rPr>
        <w:rFonts w:hint="default" w:ascii="Courier New" w:hAnsi="Courier New"/>
      </w:rPr>
    </w:lvl>
    <w:lvl w:ilvl="8" w:tplc="3E8AC564">
      <w:start w:val="1"/>
      <w:numFmt w:val="bullet"/>
      <w:lvlText w:val=""/>
      <w:lvlJc w:val="left"/>
      <w:pPr>
        <w:ind w:left="6480" w:hanging="360"/>
      </w:pPr>
      <w:rPr>
        <w:rFonts w:hint="default" w:ascii="Wingdings" w:hAnsi="Wingdings"/>
      </w:rPr>
    </w:lvl>
  </w:abstractNum>
  <w:abstractNum w:abstractNumId="7" w15:restartNumberingAfterBreak="0">
    <w:nsid w:val="12631CC3"/>
    <w:multiLevelType w:val="hybridMultilevel"/>
    <w:tmpl w:val="299A766E"/>
    <w:lvl w:ilvl="0" w:tplc="767CD502">
      <w:start w:val="1"/>
      <w:numFmt w:val="bullet"/>
      <w:lvlText w:val="-"/>
      <w:lvlJc w:val="left"/>
      <w:pPr>
        <w:ind w:left="720" w:hanging="360"/>
      </w:pPr>
      <w:rPr>
        <w:rFonts w:hint="default" w:ascii="Arial" w:hAnsi="Arial"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6D3B2FB"/>
    <w:multiLevelType w:val="hybridMultilevel"/>
    <w:tmpl w:val="A670A480"/>
    <w:lvl w:ilvl="0" w:tplc="72DC009A">
      <w:start w:val="1"/>
      <w:numFmt w:val="bullet"/>
      <w:lvlText w:val="·"/>
      <w:lvlJc w:val="left"/>
      <w:pPr>
        <w:ind w:left="720" w:hanging="360"/>
      </w:pPr>
      <w:rPr>
        <w:rFonts w:hint="default" w:ascii="Symbol" w:hAnsi="Symbol"/>
      </w:rPr>
    </w:lvl>
    <w:lvl w:ilvl="1" w:tplc="4CB4E89E">
      <w:start w:val="1"/>
      <w:numFmt w:val="bullet"/>
      <w:lvlText w:val="o"/>
      <w:lvlJc w:val="left"/>
      <w:pPr>
        <w:ind w:left="1440" w:hanging="360"/>
      </w:pPr>
      <w:rPr>
        <w:rFonts w:hint="default" w:ascii="Courier New" w:hAnsi="Courier New"/>
      </w:rPr>
    </w:lvl>
    <w:lvl w:ilvl="2" w:tplc="B14E785C">
      <w:start w:val="1"/>
      <w:numFmt w:val="bullet"/>
      <w:lvlText w:val=""/>
      <w:lvlJc w:val="left"/>
      <w:pPr>
        <w:ind w:left="2160" w:hanging="360"/>
      </w:pPr>
      <w:rPr>
        <w:rFonts w:hint="default" w:ascii="Wingdings" w:hAnsi="Wingdings"/>
      </w:rPr>
    </w:lvl>
    <w:lvl w:ilvl="3" w:tplc="FC722CD0">
      <w:start w:val="1"/>
      <w:numFmt w:val="bullet"/>
      <w:lvlText w:val=""/>
      <w:lvlJc w:val="left"/>
      <w:pPr>
        <w:ind w:left="2880" w:hanging="360"/>
      </w:pPr>
      <w:rPr>
        <w:rFonts w:hint="default" w:ascii="Symbol" w:hAnsi="Symbol"/>
      </w:rPr>
    </w:lvl>
    <w:lvl w:ilvl="4" w:tplc="7D3CD55C">
      <w:start w:val="1"/>
      <w:numFmt w:val="bullet"/>
      <w:lvlText w:val="o"/>
      <w:lvlJc w:val="left"/>
      <w:pPr>
        <w:ind w:left="3600" w:hanging="360"/>
      </w:pPr>
      <w:rPr>
        <w:rFonts w:hint="default" w:ascii="Courier New" w:hAnsi="Courier New"/>
      </w:rPr>
    </w:lvl>
    <w:lvl w:ilvl="5" w:tplc="C7C08BB4">
      <w:start w:val="1"/>
      <w:numFmt w:val="bullet"/>
      <w:lvlText w:val=""/>
      <w:lvlJc w:val="left"/>
      <w:pPr>
        <w:ind w:left="4320" w:hanging="360"/>
      </w:pPr>
      <w:rPr>
        <w:rFonts w:hint="default" w:ascii="Wingdings" w:hAnsi="Wingdings"/>
      </w:rPr>
    </w:lvl>
    <w:lvl w:ilvl="6" w:tplc="FA44C5B0">
      <w:start w:val="1"/>
      <w:numFmt w:val="bullet"/>
      <w:lvlText w:val=""/>
      <w:lvlJc w:val="left"/>
      <w:pPr>
        <w:ind w:left="5040" w:hanging="360"/>
      </w:pPr>
      <w:rPr>
        <w:rFonts w:hint="default" w:ascii="Symbol" w:hAnsi="Symbol"/>
      </w:rPr>
    </w:lvl>
    <w:lvl w:ilvl="7" w:tplc="88140B2C">
      <w:start w:val="1"/>
      <w:numFmt w:val="bullet"/>
      <w:lvlText w:val="o"/>
      <w:lvlJc w:val="left"/>
      <w:pPr>
        <w:ind w:left="5760" w:hanging="360"/>
      </w:pPr>
      <w:rPr>
        <w:rFonts w:hint="default" w:ascii="Courier New" w:hAnsi="Courier New"/>
      </w:rPr>
    </w:lvl>
    <w:lvl w:ilvl="8" w:tplc="F7A63E0C">
      <w:start w:val="1"/>
      <w:numFmt w:val="bullet"/>
      <w:lvlText w:val=""/>
      <w:lvlJc w:val="left"/>
      <w:pPr>
        <w:ind w:left="6480" w:hanging="360"/>
      </w:pPr>
      <w:rPr>
        <w:rFonts w:hint="default" w:ascii="Wingdings" w:hAnsi="Wingdings"/>
      </w:rPr>
    </w:lvl>
  </w:abstractNum>
  <w:abstractNum w:abstractNumId="9" w15:restartNumberingAfterBreak="0">
    <w:nsid w:val="2FC5F44D"/>
    <w:multiLevelType w:val="hybridMultilevel"/>
    <w:tmpl w:val="47060D60"/>
    <w:lvl w:ilvl="0" w:tplc="564AD2E8">
      <w:start w:val="1"/>
      <w:numFmt w:val="decimal"/>
      <w:lvlText w:val="%1."/>
      <w:lvlJc w:val="left"/>
      <w:pPr>
        <w:ind w:left="720" w:hanging="360"/>
      </w:pPr>
    </w:lvl>
    <w:lvl w:ilvl="1" w:tplc="CA48BF4C">
      <w:start w:val="1"/>
      <w:numFmt w:val="lowerLetter"/>
      <w:lvlText w:val="%2."/>
      <w:lvlJc w:val="left"/>
      <w:pPr>
        <w:ind w:left="1440" w:hanging="360"/>
      </w:pPr>
    </w:lvl>
    <w:lvl w:ilvl="2" w:tplc="44864B0C">
      <w:start w:val="1"/>
      <w:numFmt w:val="lowerRoman"/>
      <w:lvlText w:val="%3."/>
      <w:lvlJc w:val="right"/>
      <w:pPr>
        <w:ind w:left="2160" w:hanging="180"/>
      </w:pPr>
    </w:lvl>
    <w:lvl w:ilvl="3" w:tplc="6B843366">
      <w:start w:val="1"/>
      <w:numFmt w:val="decimal"/>
      <w:lvlText w:val="%4."/>
      <w:lvlJc w:val="left"/>
      <w:pPr>
        <w:ind w:left="2880" w:hanging="360"/>
      </w:pPr>
    </w:lvl>
    <w:lvl w:ilvl="4" w:tplc="23E6941A">
      <w:start w:val="1"/>
      <w:numFmt w:val="lowerLetter"/>
      <w:lvlText w:val="%5."/>
      <w:lvlJc w:val="left"/>
      <w:pPr>
        <w:ind w:left="3600" w:hanging="360"/>
      </w:pPr>
    </w:lvl>
    <w:lvl w:ilvl="5" w:tplc="3A2C180E">
      <w:start w:val="1"/>
      <w:numFmt w:val="lowerRoman"/>
      <w:lvlText w:val="%6."/>
      <w:lvlJc w:val="right"/>
      <w:pPr>
        <w:ind w:left="4320" w:hanging="180"/>
      </w:pPr>
    </w:lvl>
    <w:lvl w:ilvl="6" w:tplc="585C27F6">
      <w:start w:val="1"/>
      <w:numFmt w:val="decimal"/>
      <w:lvlText w:val="%7."/>
      <w:lvlJc w:val="left"/>
      <w:pPr>
        <w:ind w:left="5040" w:hanging="360"/>
      </w:pPr>
    </w:lvl>
    <w:lvl w:ilvl="7" w:tplc="5F98E5B4">
      <w:start w:val="1"/>
      <w:numFmt w:val="lowerLetter"/>
      <w:lvlText w:val="%8."/>
      <w:lvlJc w:val="left"/>
      <w:pPr>
        <w:ind w:left="5760" w:hanging="360"/>
      </w:pPr>
    </w:lvl>
    <w:lvl w:ilvl="8" w:tplc="EF541542">
      <w:start w:val="1"/>
      <w:numFmt w:val="lowerRoman"/>
      <w:lvlText w:val="%9."/>
      <w:lvlJc w:val="right"/>
      <w:pPr>
        <w:ind w:left="6480" w:hanging="180"/>
      </w:pPr>
    </w:lvl>
  </w:abstractNum>
  <w:abstractNum w:abstractNumId="10" w15:restartNumberingAfterBreak="0">
    <w:nsid w:val="31705725"/>
    <w:multiLevelType w:val="hybridMultilevel"/>
    <w:tmpl w:val="C8BA220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11" w15:restartNumberingAfterBreak="0">
    <w:nsid w:val="33EA652D"/>
    <w:multiLevelType w:val="hybridMultilevel"/>
    <w:tmpl w:val="E8C6AE34"/>
    <w:lvl w:ilvl="0">
      <w:start w:val="1"/>
      <w:numFmt w:val="bullet"/>
      <w:pStyle w:val="Listenabsatz"/>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3B11D562"/>
    <w:multiLevelType w:val="hybridMultilevel"/>
    <w:tmpl w:val="43EAE6C2"/>
    <w:lvl w:ilvl="0" w:tplc="32F67752">
      <w:start w:val="1"/>
      <w:numFmt w:val="bullet"/>
      <w:lvlText w:val=""/>
      <w:lvlJc w:val="left"/>
      <w:pPr>
        <w:ind w:left="720" w:hanging="360"/>
      </w:pPr>
      <w:rPr>
        <w:rFonts w:hint="default" w:ascii="Symbol" w:hAnsi="Symbol"/>
      </w:rPr>
    </w:lvl>
    <w:lvl w:ilvl="1" w:tplc="1DFEED26">
      <w:start w:val="1"/>
      <w:numFmt w:val="bullet"/>
      <w:lvlText w:val="o"/>
      <w:lvlJc w:val="left"/>
      <w:pPr>
        <w:ind w:left="1440" w:hanging="360"/>
      </w:pPr>
      <w:rPr>
        <w:rFonts w:hint="default" w:ascii="Courier New" w:hAnsi="Courier New"/>
      </w:rPr>
    </w:lvl>
    <w:lvl w:ilvl="2" w:tplc="65F8768C">
      <w:start w:val="1"/>
      <w:numFmt w:val="bullet"/>
      <w:lvlText w:val=""/>
      <w:lvlJc w:val="left"/>
      <w:pPr>
        <w:ind w:left="2160" w:hanging="360"/>
      </w:pPr>
      <w:rPr>
        <w:rFonts w:hint="default" w:ascii="Wingdings" w:hAnsi="Wingdings"/>
      </w:rPr>
    </w:lvl>
    <w:lvl w:ilvl="3" w:tplc="6D827C18">
      <w:start w:val="1"/>
      <w:numFmt w:val="bullet"/>
      <w:lvlText w:val=""/>
      <w:lvlJc w:val="left"/>
      <w:pPr>
        <w:ind w:left="2880" w:hanging="360"/>
      </w:pPr>
      <w:rPr>
        <w:rFonts w:hint="default" w:ascii="Symbol" w:hAnsi="Symbol"/>
      </w:rPr>
    </w:lvl>
    <w:lvl w:ilvl="4" w:tplc="0A9E94A4">
      <w:start w:val="1"/>
      <w:numFmt w:val="bullet"/>
      <w:lvlText w:val="o"/>
      <w:lvlJc w:val="left"/>
      <w:pPr>
        <w:ind w:left="3600" w:hanging="360"/>
      </w:pPr>
      <w:rPr>
        <w:rFonts w:hint="default" w:ascii="Courier New" w:hAnsi="Courier New"/>
      </w:rPr>
    </w:lvl>
    <w:lvl w:ilvl="5" w:tplc="015C5EF2">
      <w:start w:val="1"/>
      <w:numFmt w:val="bullet"/>
      <w:lvlText w:val=""/>
      <w:lvlJc w:val="left"/>
      <w:pPr>
        <w:ind w:left="4320" w:hanging="360"/>
      </w:pPr>
      <w:rPr>
        <w:rFonts w:hint="default" w:ascii="Wingdings" w:hAnsi="Wingdings"/>
      </w:rPr>
    </w:lvl>
    <w:lvl w:ilvl="6" w:tplc="092A0E64">
      <w:start w:val="1"/>
      <w:numFmt w:val="bullet"/>
      <w:lvlText w:val=""/>
      <w:lvlJc w:val="left"/>
      <w:pPr>
        <w:ind w:left="5040" w:hanging="360"/>
      </w:pPr>
      <w:rPr>
        <w:rFonts w:hint="default" w:ascii="Symbol" w:hAnsi="Symbol"/>
      </w:rPr>
    </w:lvl>
    <w:lvl w:ilvl="7" w:tplc="5AF29232">
      <w:start w:val="1"/>
      <w:numFmt w:val="bullet"/>
      <w:lvlText w:val="o"/>
      <w:lvlJc w:val="left"/>
      <w:pPr>
        <w:ind w:left="5760" w:hanging="360"/>
      </w:pPr>
      <w:rPr>
        <w:rFonts w:hint="default" w:ascii="Courier New" w:hAnsi="Courier New"/>
      </w:rPr>
    </w:lvl>
    <w:lvl w:ilvl="8" w:tplc="02C24328">
      <w:start w:val="1"/>
      <w:numFmt w:val="bullet"/>
      <w:lvlText w:val=""/>
      <w:lvlJc w:val="left"/>
      <w:pPr>
        <w:ind w:left="6480" w:hanging="360"/>
      </w:pPr>
      <w:rPr>
        <w:rFonts w:hint="default" w:ascii="Wingdings" w:hAnsi="Wingdings"/>
      </w:rPr>
    </w:lvl>
  </w:abstractNum>
  <w:abstractNum w:abstractNumId="13" w15:restartNumberingAfterBreak="0">
    <w:nsid w:val="3F641C5B"/>
    <w:multiLevelType w:val="hybridMultilevel"/>
    <w:tmpl w:val="5D062D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433DCBDC"/>
    <w:multiLevelType w:val="hybridMultilevel"/>
    <w:tmpl w:val="F8B862FC"/>
    <w:lvl w:ilvl="0" w:tplc="B3148652">
      <w:start w:val="2"/>
      <w:numFmt w:val="decimal"/>
      <w:lvlText w:val="%1."/>
      <w:lvlJc w:val="left"/>
      <w:pPr>
        <w:ind w:left="720" w:hanging="360"/>
      </w:pPr>
    </w:lvl>
    <w:lvl w:ilvl="1" w:tplc="7C24F080">
      <w:start w:val="1"/>
      <w:numFmt w:val="lowerLetter"/>
      <w:lvlText w:val="%2."/>
      <w:lvlJc w:val="left"/>
      <w:pPr>
        <w:ind w:left="1440" w:hanging="360"/>
      </w:pPr>
    </w:lvl>
    <w:lvl w:ilvl="2" w:tplc="25EC51C2">
      <w:start w:val="1"/>
      <w:numFmt w:val="lowerRoman"/>
      <w:lvlText w:val="%3."/>
      <w:lvlJc w:val="right"/>
      <w:pPr>
        <w:ind w:left="2160" w:hanging="180"/>
      </w:pPr>
    </w:lvl>
    <w:lvl w:ilvl="3" w:tplc="FA24ED54">
      <w:start w:val="1"/>
      <w:numFmt w:val="decimal"/>
      <w:lvlText w:val="%4."/>
      <w:lvlJc w:val="left"/>
      <w:pPr>
        <w:ind w:left="2880" w:hanging="360"/>
      </w:pPr>
    </w:lvl>
    <w:lvl w:ilvl="4" w:tplc="6D6ADC58">
      <w:start w:val="1"/>
      <w:numFmt w:val="lowerLetter"/>
      <w:lvlText w:val="%5."/>
      <w:lvlJc w:val="left"/>
      <w:pPr>
        <w:ind w:left="3600" w:hanging="360"/>
      </w:pPr>
    </w:lvl>
    <w:lvl w:ilvl="5" w:tplc="BD8E99CC">
      <w:start w:val="1"/>
      <w:numFmt w:val="lowerRoman"/>
      <w:lvlText w:val="%6."/>
      <w:lvlJc w:val="right"/>
      <w:pPr>
        <w:ind w:left="4320" w:hanging="180"/>
      </w:pPr>
    </w:lvl>
    <w:lvl w:ilvl="6" w:tplc="A2AAE8A2">
      <w:start w:val="1"/>
      <w:numFmt w:val="decimal"/>
      <w:lvlText w:val="%7."/>
      <w:lvlJc w:val="left"/>
      <w:pPr>
        <w:ind w:left="5040" w:hanging="360"/>
      </w:pPr>
    </w:lvl>
    <w:lvl w:ilvl="7" w:tplc="123E36BC">
      <w:start w:val="1"/>
      <w:numFmt w:val="lowerLetter"/>
      <w:lvlText w:val="%8."/>
      <w:lvlJc w:val="left"/>
      <w:pPr>
        <w:ind w:left="5760" w:hanging="360"/>
      </w:pPr>
    </w:lvl>
    <w:lvl w:ilvl="8" w:tplc="37EE2026">
      <w:start w:val="1"/>
      <w:numFmt w:val="lowerRoman"/>
      <w:lvlText w:val="%9."/>
      <w:lvlJc w:val="right"/>
      <w:pPr>
        <w:ind w:left="6480" w:hanging="180"/>
      </w:pPr>
    </w:lvl>
  </w:abstractNum>
  <w:abstractNum w:abstractNumId="15" w15:restartNumberingAfterBreak="0">
    <w:nsid w:val="49692AB0"/>
    <w:multiLevelType w:val="hybridMultilevel"/>
    <w:tmpl w:val="09F20328"/>
    <w:lvl w:ilvl="0" w:tplc="7E18F286">
      <w:start w:val="1"/>
      <w:numFmt w:val="bullet"/>
      <w:lvlText w:val="·"/>
      <w:lvlJc w:val="left"/>
      <w:pPr>
        <w:ind w:left="720" w:hanging="360"/>
      </w:pPr>
      <w:rPr>
        <w:rFonts w:hint="default" w:ascii="Symbol" w:hAnsi="Symbol"/>
      </w:rPr>
    </w:lvl>
    <w:lvl w:ilvl="1" w:tplc="9898A482">
      <w:start w:val="1"/>
      <w:numFmt w:val="bullet"/>
      <w:lvlText w:val="o"/>
      <w:lvlJc w:val="left"/>
      <w:pPr>
        <w:ind w:left="1440" w:hanging="360"/>
      </w:pPr>
      <w:rPr>
        <w:rFonts w:hint="default" w:ascii="Symbol" w:hAnsi="Symbol"/>
      </w:rPr>
    </w:lvl>
    <w:lvl w:ilvl="2" w:tplc="B25626B6">
      <w:start w:val="1"/>
      <w:numFmt w:val="bullet"/>
      <w:lvlText w:val=""/>
      <w:lvlJc w:val="left"/>
      <w:pPr>
        <w:ind w:left="2160" w:hanging="360"/>
      </w:pPr>
      <w:rPr>
        <w:rFonts w:hint="default" w:ascii="Wingdings" w:hAnsi="Wingdings"/>
      </w:rPr>
    </w:lvl>
    <w:lvl w:ilvl="3" w:tplc="7F24F6C8">
      <w:start w:val="1"/>
      <w:numFmt w:val="bullet"/>
      <w:lvlText w:val=""/>
      <w:lvlJc w:val="left"/>
      <w:pPr>
        <w:ind w:left="2880" w:hanging="360"/>
      </w:pPr>
      <w:rPr>
        <w:rFonts w:hint="default" w:ascii="Symbol" w:hAnsi="Symbol"/>
      </w:rPr>
    </w:lvl>
    <w:lvl w:ilvl="4" w:tplc="F230C43A">
      <w:start w:val="1"/>
      <w:numFmt w:val="bullet"/>
      <w:lvlText w:val="o"/>
      <w:lvlJc w:val="left"/>
      <w:pPr>
        <w:ind w:left="3600" w:hanging="360"/>
      </w:pPr>
      <w:rPr>
        <w:rFonts w:hint="default" w:ascii="Courier New" w:hAnsi="Courier New"/>
      </w:rPr>
    </w:lvl>
    <w:lvl w:ilvl="5" w:tplc="6C962006">
      <w:start w:val="1"/>
      <w:numFmt w:val="bullet"/>
      <w:lvlText w:val=""/>
      <w:lvlJc w:val="left"/>
      <w:pPr>
        <w:ind w:left="4320" w:hanging="360"/>
      </w:pPr>
      <w:rPr>
        <w:rFonts w:hint="default" w:ascii="Wingdings" w:hAnsi="Wingdings"/>
      </w:rPr>
    </w:lvl>
    <w:lvl w:ilvl="6" w:tplc="FE26A332">
      <w:start w:val="1"/>
      <w:numFmt w:val="bullet"/>
      <w:lvlText w:val=""/>
      <w:lvlJc w:val="left"/>
      <w:pPr>
        <w:ind w:left="5040" w:hanging="360"/>
      </w:pPr>
      <w:rPr>
        <w:rFonts w:hint="default" w:ascii="Symbol" w:hAnsi="Symbol"/>
      </w:rPr>
    </w:lvl>
    <w:lvl w:ilvl="7" w:tplc="2D129914">
      <w:start w:val="1"/>
      <w:numFmt w:val="bullet"/>
      <w:lvlText w:val="o"/>
      <w:lvlJc w:val="left"/>
      <w:pPr>
        <w:ind w:left="5760" w:hanging="360"/>
      </w:pPr>
      <w:rPr>
        <w:rFonts w:hint="default" w:ascii="Courier New" w:hAnsi="Courier New"/>
      </w:rPr>
    </w:lvl>
    <w:lvl w:ilvl="8" w:tplc="1DC8DFC8">
      <w:start w:val="1"/>
      <w:numFmt w:val="bullet"/>
      <w:lvlText w:val=""/>
      <w:lvlJc w:val="left"/>
      <w:pPr>
        <w:ind w:left="6480" w:hanging="360"/>
      </w:pPr>
      <w:rPr>
        <w:rFonts w:hint="default" w:ascii="Wingdings" w:hAnsi="Wingdings"/>
      </w:rPr>
    </w:lvl>
  </w:abstractNum>
  <w:abstractNum w:abstractNumId="16" w15:restartNumberingAfterBreak="0">
    <w:nsid w:val="4D4A9115"/>
    <w:multiLevelType w:val="hybridMultilevel"/>
    <w:tmpl w:val="E96A05FE"/>
    <w:lvl w:ilvl="0" w:tplc="229C1830">
      <w:start w:val="1"/>
      <w:numFmt w:val="bullet"/>
      <w:lvlText w:val="·"/>
      <w:lvlJc w:val="left"/>
      <w:pPr>
        <w:ind w:left="720" w:hanging="360"/>
      </w:pPr>
      <w:rPr>
        <w:rFonts w:hint="default" w:ascii="Symbol" w:hAnsi="Symbol"/>
      </w:rPr>
    </w:lvl>
    <w:lvl w:ilvl="1" w:tplc="58B0AC64">
      <w:start w:val="1"/>
      <w:numFmt w:val="bullet"/>
      <w:lvlText w:val="o"/>
      <w:lvlJc w:val="left"/>
      <w:pPr>
        <w:ind w:left="1440" w:hanging="360"/>
      </w:pPr>
      <w:rPr>
        <w:rFonts w:hint="default" w:ascii="Courier New" w:hAnsi="Courier New"/>
      </w:rPr>
    </w:lvl>
    <w:lvl w:ilvl="2" w:tplc="2CF4FE2C">
      <w:start w:val="1"/>
      <w:numFmt w:val="bullet"/>
      <w:lvlText w:val=""/>
      <w:lvlJc w:val="left"/>
      <w:pPr>
        <w:ind w:left="2160" w:hanging="360"/>
      </w:pPr>
      <w:rPr>
        <w:rFonts w:hint="default" w:ascii="Wingdings" w:hAnsi="Wingdings"/>
      </w:rPr>
    </w:lvl>
    <w:lvl w:ilvl="3" w:tplc="A65C948E">
      <w:start w:val="1"/>
      <w:numFmt w:val="bullet"/>
      <w:lvlText w:val=""/>
      <w:lvlJc w:val="left"/>
      <w:pPr>
        <w:ind w:left="2880" w:hanging="360"/>
      </w:pPr>
      <w:rPr>
        <w:rFonts w:hint="default" w:ascii="Symbol" w:hAnsi="Symbol"/>
      </w:rPr>
    </w:lvl>
    <w:lvl w:ilvl="4" w:tplc="9482C210">
      <w:start w:val="1"/>
      <w:numFmt w:val="bullet"/>
      <w:lvlText w:val="o"/>
      <w:lvlJc w:val="left"/>
      <w:pPr>
        <w:ind w:left="3600" w:hanging="360"/>
      </w:pPr>
      <w:rPr>
        <w:rFonts w:hint="default" w:ascii="Courier New" w:hAnsi="Courier New"/>
      </w:rPr>
    </w:lvl>
    <w:lvl w:ilvl="5" w:tplc="74AE940E">
      <w:start w:val="1"/>
      <w:numFmt w:val="bullet"/>
      <w:lvlText w:val=""/>
      <w:lvlJc w:val="left"/>
      <w:pPr>
        <w:ind w:left="4320" w:hanging="360"/>
      </w:pPr>
      <w:rPr>
        <w:rFonts w:hint="default" w:ascii="Wingdings" w:hAnsi="Wingdings"/>
      </w:rPr>
    </w:lvl>
    <w:lvl w:ilvl="6" w:tplc="5008A1EC">
      <w:start w:val="1"/>
      <w:numFmt w:val="bullet"/>
      <w:lvlText w:val=""/>
      <w:lvlJc w:val="left"/>
      <w:pPr>
        <w:ind w:left="5040" w:hanging="360"/>
      </w:pPr>
      <w:rPr>
        <w:rFonts w:hint="default" w:ascii="Symbol" w:hAnsi="Symbol"/>
      </w:rPr>
    </w:lvl>
    <w:lvl w:ilvl="7" w:tplc="4B9862F4">
      <w:start w:val="1"/>
      <w:numFmt w:val="bullet"/>
      <w:lvlText w:val="o"/>
      <w:lvlJc w:val="left"/>
      <w:pPr>
        <w:ind w:left="5760" w:hanging="360"/>
      </w:pPr>
      <w:rPr>
        <w:rFonts w:hint="default" w:ascii="Courier New" w:hAnsi="Courier New"/>
      </w:rPr>
    </w:lvl>
    <w:lvl w:ilvl="8" w:tplc="800A77DA">
      <w:start w:val="1"/>
      <w:numFmt w:val="bullet"/>
      <w:lvlText w:val=""/>
      <w:lvlJc w:val="left"/>
      <w:pPr>
        <w:ind w:left="6480" w:hanging="360"/>
      </w:pPr>
      <w:rPr>
        <w:rFonts w:hint="default" w:ascii="Wingdings" w:hAnsi="Wingdings"/>
      </w:rPr>
    </w:lvl>
  </w:abstractNum>
  <w:abstractNum w:abstractNumId="17" w15:restartNumberingAfterBreak="0">
    <w:nsid w:val="547D2D87"/>
    <w:multiLevelType w:val="hybridMultilevel"/>
    <w:tmpl w:val="7BBA0778"/>
    <w:lvl w:ilvl="0" w:tplc="F6FA6E04">
      <w:start w:val="1"/>
      <w:numFmt w:val="bullet"/>
      <w:lvlText w:val="·"/>
      <w:lvlJc w:val="left"/>
      <w:pPr>
        <w:ind w:left="720" w:hanging="360"/>
      </w:pPr>
      <w:rPr>
        <w:rFonts w:hint="default" w:ascii="Symbol" w:hAnsi="Symbol"/>
      </w:rPr>
    </w:lvl>
    <w:lvl w:ilvl="1" w:tplc="2BDC0968">
      <w:start w:val="1"/>
      <w:numFmt w:val="bullet"/>
      <w:lvlText w:val="o"/>
      <w:lvlJc w:val="left"/>
      <w:pPr>
        <w:ind w:left="1440" w:hanging="360"/>
      </w:pPr>
      <w:rPr>
        <w:rFonts w:hint="default" w:ascii="Courier New" w:hAnsi="Courier New"/>
      </w:rPr>
    </w:lvl>
    <w:lvl w:ilvl="2" w:tplc="51C453A8">
      <w:start w:val="1"/>
      <w:numFmt w:val="bullet"/>
      <w:lvlText w:val=""/>
      <w:lvlJc w:val="left"/>
      <w:pPr>
        <w:ind w:left="2160" w:hanging="360"/>
      </w:pPr>
      <w:rPr>
        <w:rFonts w:hint="default" w:ascii="Wingdings" w:hAnsi="Wingdings"/>
      </w:rPr>
    </w:lvl>
    <w:lvl w:ilvl="3" w:tplc="BB5A1BE0">
      <w:start w:val="1"/>
      <w:numFmt w:val="bullet"/>
      <w:lvlText w:val=""/>
      <w:lvlJc w:val="left"/>
      <w:pPr>
        <w:ind w:left="2880" w:hanging="360"/>
      </w:pPr>
      <w:rPr>
        <w:rFonts w:hint="default" w:ascii="Symbol" w:hAnsi="Symbol"/>
      </w:rPr>
    </w:lvl>
    <w:lvl w:ilvl="4" w:tplc="EA9014CA">
      <w:start w:val="1"/>
      <w:numFmt w:val="bullet"/>
      <w:lvlText w:val="o"/>
      <w:lvlJc w:val="left"/>
      <w:pPr>
        <w:ind w:left="3600" w:hanging="360"/>
      </w:pPr>
      <w:rPr>
        <w:rFonts w:hint="default" w:ascii="Courier New" w:hAnsi="Courier New"/>
      </w:rPr>
    </w:lvl>
    <w:lvl w:ilvl="5" w:tplc="00787726">
      <w:start w:val="1"/>
      <w:numFmt w:val="bullet"/>
      <w:lvlText w:val=""/>
      <w:lvlJc w:val="left"/>
      <w:pPr>
        <w:ind w:left="4320" w:hanging="360"/>
      </w:pPr>
      <w:rPr>
        <w:rFonts w:hint="default" w:ascii="Wingdings" w:hAnsi="Wingdings"/>
      </w:rPr>
    </w:lvl>
    <w:lvl w:ilvl="6" w:tplc="5A409D9C">
      <w:start w:val="1"/>
      <w:numFmt w:val="bullet"/>
      <w:lvlText w:val=""/>
      <w:lvlJc w:val="left"/>
      <w:pPr>
        <w:ind w:left="5040" w:hanging="360"/>
      </w:pPr>
      <w:rPr>
        <w:rFonts w:hint="default" w:ascii="Symbol" w:hAnsi="Symbol"/>
      </w:rPr>
    </w:lvl>
    <w:lvl w:ilvl="7" w:tplc="028C103E">
      <w:start w:val="1"/>
      <w:numFmt w:val="bullet"/>
      <w:lvlText w:val="o"/>
      <w:lvlJc w:val="left"/>
      <w:pPr>
        <w:ind w:left="5760" w:hanging="360"/>
      </w:pPr>
      <w:rPr>
        <w:rFonts w:hint="default" w:ascii="Courier New" w:hAnsi="Courier New"/>
      </w:rPr>
    </w:lvl>
    <w:lvl w:ilvl="8" w:tplc="9E84B386">
      <w:start w:val="1"/>
      <w:numFmt w:val="bullet"/>
      <w:lvlText w:val=""/>
      <w:lvlJc w:val="left"/>
      <w:pPr>
        <w:ind w:left="6480" w:hanging="360"/>
      </w:pPr>
      <w:rPr>
        <w:rFonts w:hint="default" w:ascii="Wingdings" w:hAnsi="Wingdings"/>
      </w:rPr>
    </w:lvl>
  </w:abstractNum>
  <w:abstractNum w:abstractNumId="18" w15:restartNumberingAfterBreak="0">
    <w:nsid w:val="6559FBBE"/>
    <w:multiLevelType w:val="hybridMultilevel"/>
    <w:tmpl w:val="BB50A13E"/>
    <w:lvl w:ilvl="0" w:tplc="6CFEC11A">
      <w:start w:val="1"/>
      <w:numFmt w:val="bullet"/>
      <w:lvlText w:val="·"/>
      <w:lvlJc w:val="left"/>
      <w:pPr>
        <w:ind w:left="720" w:hanging="360"/>
      </w:pPr>
      <w:rPr>
        <w:rFonts w:hint="default" w:ascii="Symbol" w:hAnsi="Symbol"/>
      </w:rPr>
    </w:lvl>
    <w:lvl w:ilvl="1" w:tplc="ACA6044E">
      <w:start w:val="1"/>
      <w:numFmt w:val="bullet"/>
      <w:lvlText w:val="o"/>
      <w:lvlJc w:val="left"/>
      <w:pPr>
        <w:ind w:left="1440" w:hanging="360"/>
      </w:pPr>
      <w:rPr>
        <w:rFonts w:hint="default" w:ascii="Courier New" w:hAnsi="Courier New"/>
      </w:rPr>
    </w:lvl>
    <w:lvl w:ilvl="2" w:tplc="66A68850">
      <w:start w:val="1"/>
      <w:numFmt w:val="bullet"/>
      <w:lvlText w:val=""/>
      <w:lvlJc w:val="left"/>
      <w:pPr>
        <w:ind w:left="2160" w:hanging="360"/>
      </w:pPr>
      <w:rPr>
        <w:rFonts w:hint="default" w:ascii="Wingdings" w:hAnsi="Wingdings"/>
      </w:rPr>
    </w:lvl>
    <w:lvl w:ilvl="3" w:tplc="0EFC14F4">
      <w:start w:val="1"/>
      <w:numFmt w:val="bullet"/>
      <w:lvlText w:val=""/>
      <w:lvlJc w:val="left"/>
      <w:pPr>
        <w:ind w:left="2880" w:hanging="360"/>
      </w:pPr>
      <w:rPr>
        <w:rFonts w:hint="default" w:ascii="Symbol" w:hAnsi="Symbol"/>
      </w:rPr>
    </w:lvl>
    <w:lvl w:ilvl="4" w:tplc="4CF019AE">
      <w:start w:val="1"/>
      <w:numFmt w:val="bullet"/>
      <w:lvlText w:val="o"/>
      <w:lvlJc w:val="left"/>
      <w:pPr>
        <w:ind w:left="3600" w:hanging="360"/>
      </w:pPr>
      <w:rPr>
        <w:rFonts w:hint="default" w:ascii="Courier New" w:hAnsi="Courier New"/>
      </w:rPr>
    </w:lvl>
    <w:lvl w:ilvl="5" w:tplc="80886266">
      <w:start w:val="1"/>
      <w:numFmt w:val="bullet"/>
      <w:lvlText w:val=""/>
      <w:lvlJc w:val="left"/>
      <w:pPr>
        <w:ind w:left="4320" w:hanging="360"/>
      </w:pPr>
      <w:rPr>
        <w:rFonts w:hint="default" w:ascii="Wingdings" w:hAnsi="Wingdings"/>
      </w:rPr>
    </w:lvl>
    <w:lvl w:ilvl="6" w:tplc="57F4BC92">
      <w:start w:val="1"/>
      <w:numFmt w:val="bullet"/>
      <w:lvlText w:val=""/>
      <w:lvlJc w:val="left"/>
      <w:pPr>
        <w:ind w:left="5040" w:hanging="360"/>
      </w:pPr>
      <w:rPr>
        <w:rFonts w:hint="default" w:ascii="Symbol" w:hAnsi="Symbol"/>
      </w:rPr>
    </w:lvl>
    <w:lvl w:ilvl="7" w:tplc="D7AEE650">
      <w:start w:val="1"/>
      <w:numFmt w:val="bullet"/>
      <w:lvlText w:val="o"/>
      <w:lvlJc w:val="left"/>
      <w:pPr>
        <w:ind w:left="5760" w:hanging="360"/>
      </w:pPr>
      <w:rPr>
        <w:rFonts w:hint="default" w:ascii="Courier New" w:hAnsi="Courier New"/>
      </w:rPr>
    </w:lvl>
    <w:lvl w:ilvl="8" w:tplc="224E793E">
      <w:start w:val="1"/>
      <w:numFmt w:val="bullet"/>
      <w:lvlText w:val=""/>
      <w:lvlJc w:val="left"/>
      <w:pPr>
        <w:ind w:left="6480" w:hanging="360"/>
      </w:pPr>
      <w:rPr>
        <w:rFonts w:hint="default" w:ascii="Wingdings" w:hAnsi="Wingdings"/>
      </w:rPr>
    </w:lvl>
  </w:abstractNum>
  <w:abstractNum w:abstractNumId="19" w15:restartNumberingAfterBreak="0">
    <w:nsid w:val="6C8117A6"/>
    <w:multiLevelType w:val="hybridMultilevel"/>
    <w:tmpl w:val="603424E8"/>
    <w:lvl w:ilvl="0" w:tplc="3D600372">
      <w:start w:val="1"/>
      <w:numFmt w:val="bullet"/>
      <w:lvlText w:val="·"/>
      <w:lvlJc w:val="left"/>
      <w:pPr>
        <w:ind w:left="720" w:hanging="360"/>
      </w:pPr>
      <w:rPr>
        <w:rFonts w:hint="default" w:ascii="Symbol" w:hAnsi="Symbol"/>
      </w:rPr>
    </w:lvl>
    <w:lvl w:ilvl="1" w:tplc="9E362AF2">
      <w:start w:val="1"/>
      <w:numFmt w:val="bullet"/>
      <w:lvlText w:val="o"/>
      <w:lvlJc w:val="left"/>
      <w:pPr>
        <w:ind w:left="1440" w:hanging="360"/>
      </w:pPr>
      <w:rPr>
        <w:rFonts w:hint="default" w:ascii="Courier New" w:hAnsi="Courier New"/>
      </w:rPr>
    </w:lvl>
    <w:lvl w:ilvl="2" w:tplc="FD428526">
      <w:start w:val="1"/>
      <w:numFmt w:val="bullet"/>
      <w:lvlText w:val=""/>
      <w:lvlJc w:val="left"/>
      <w:pPr>
        <w:ind w:left="2160" w:hanging="360"/>
      </w:pPr>
      <w:rPr>
        <w:rFonts w:hint="default" w:ascii="Wingdings" w:hAnsi="Wingdings"/>
      </w:rPr>
    </w:lvl>
    <w:lvl w:ilvl="3" w:tplc="612C7384">
      <w:start w:val="1"/>
      <w:numFmt w:val="bullet"/>
      <w:lvlText w:val=""/>
      <w:lvlJc w:val="left"/>
      <w:pPr>
        <w:ind w:left="2880" w:hanging="360"/>
      </w:pPr>
      <w:rPr>
        <w:rFonts w:hint="default" w:ascii="Symbol" w:hAnsi="Symbol"/>
      </w:rPr>
    </w:lvl>
    <w:lvl w:ilvl="4" w:tplc="FD568FAC">
      <w:start w:val="1"/>
      <w:numFmt w:val="bullet"/>
      <w:lvlText w:val="o"/>
      <w:lvlJc w:val="left"/>
      <w:pPr>
        <w:ind w:left="3600" w:hanging="360"/>
      </w:pPr>
      <w:rPr>
        <w:rFonts w:hint="default" w:ascii="Courier New" w:hAnsi="Courier New"/>
      </w:rPr>
    </w:lvl>
    <w:lvl w:ilvl="5" w:tplc="582CF672">
      <w:start w:val="1"/>
      <w:numFmt w:val="bullet"/>
      <w:lvlText w:val=""/>
      <w:lvlJc w:val="left"/>
      <w:pPr>
        <w:ind w:left="4320" w:hanging="360"/>
      </w:pPr>
      <w:rPr>
        <w:rFonts w:hint="default" w:ascii="Wingdings" w:hAnsi="Wingdings"/>
      </w:rPr>
    </w:lvl>
    <w:lvl w:ilvl="6" w:tplc="FFDC6196">
      <w:start w:val="1"/>
      <w:numFmt w:val="bullet"/>
      <w:lvlText w:val=""/>
      <w:lvlJc w:val="left"/>
      <w:pPr>
        <w:ind w:left="5040" w:hanging="360"/>
      </w:pPr>
      <w:rPr>
        <w:rFonts w:hint="default" w:ascii="Symbol" w:hAnsi="Symbol"/>
      </w:rPr>
    </w:lvl>
    <w:lvl w:ilvl="7" w:tplc="33780368">
      <w:start w:val="1"/>
      <w:numFmt w:val="bullet"/>
      <w:lvlText w:val="o"/>
      <w:lvlJc w:val="left"/>
      <w:pPr>
        <w:ind w:left="5760" w:hanging="360"/>
      </w:pPr>
      <w:rPr>
        <w:rFonts w:hint="default" w:ascii="Courier New" w:hAnsi="Courier New"/>
      </w:rPr>
    </w:lvl>
    <w:lvl w:ilvl="8" w:tplc="26666250">
      <w:start w:val="1"/>
      <w:numFmt w:val="bullet"/>
      <w:lvlText w:val=""/>
      <w:lvlJc w:val="left"/>
      <w:pPr>
        <w:ind w:left="6480" w:hanging="360"/>
      </w:pPr>
      <w:rPr>
        <w:rFonts w:hint="default" w:ascii="Wingdings" w:hAnsi="Wingdings"/>
      </w:rPr>
    </w:lvl>
  </w:abstractNum>
  <w:abstractNum w:abstractNumId="20" w15:restartNumberingAfterBreak="0">
    <w:nsid w:val="77960CE8"/>
    <w:multiLevelType w:val="hybridMultilevel"/>
    <w:tmpl w:val="AACCC4F8"/>
    <w:lvl w:ilvl="0" w:tplc="F4A03C64">
      <w:start w:val="1"/>
      <w:numFmt w:val="bullet"/>
      <w:lvlText w:val=""/>
      <w:lvlJc w:val="left"/>
      <w:pPr>
        <w:ind w:left="720" w:hanging="360"/>
      </w:pPr>
      <w:rPr>
        <w:rFonts w:hint="default" w:ascii="Symbol" w:hAnsi="Symbol"/>
      </w:rPr>
    </w:lvl>
    <w:lvl w:ilvl="1" w:tplc="29588A80">
      <w:start w:val="1"/>
      <w:numFmt w:val="bullet"/>
      <w:lvlText w:val="o"/>
      <w:lvlJc w:val="left"/>
      <w:pPr>
        <w:ind w:left="1440" w:hanging="360"/>
      </w:pPr>
      <w:rPr>
        <w:rFonts w:hint="default" w:ascii="Courier New" w:hAnsi="Courier New"/>
      </w:rPr>
    </w:lvl>
    <w:lvl w:ilvl="2" w:tplc="E9D66B62">
      <w:start w:val="1"/>
      <w:numFmt w:val="bullet"/>
      <w:lvlText w:val=""/>
      <w:lvlJc w:val="left"/>
      <w:pPr>
        <w:ind w:left="2160" w:hanging="360"/>
      </w:pPr>
      <w:rPr>
        <w:rFonts w:hint="default" w:ascii="Wingdings" w:hAnsi="Wingdings"/>
      </w:rPr>
    </w:lvl>
    <w:lvl w:ilvl="3" w:tplc="0B923878">
      <w:start w:val="1"/>
      <w:numFmt w:val="bullet"/>
      <w:lvlText w:val=""/>
      <w:lvlJc w:val="left"/>
      <w:pPr>
        <w:ind w:left="2880" w:hanging="360"/>
      </w:pPr>
      <w:rPr>
        <w:rFonts w:hint="default" w:ascii="Symbol" w:hAnsi="Symbol"/>
      </w:rPr>
    </w:lvl>
    <w:lvl w:ilvl="4" w:tplc="C9E860CE">
      <w:start w:val="1"/>
      <w:numFmt w:val="bullet"/>
      <w:lvlText w:val="o"/>
      <w:lvlJc w:val="left"/>
      <w:pPr>
        <w:ind w:left="3600" w:hanging="360"/>
      </w:pPr>
      <w:rPr>
        <w:rFonts w:hint="default" w:ascii="Courier New" w:hAnsi="Courier New"/>
      </w:rPr>
    </w:lvl>
    <w:lvl w:ilvl="5" w:tplc="2BD88744">
      <w:start w:val="1"/>
      <w:numFmt w:val="bullet"/>
      <w:lvlText w:val=""/>
      <w:lvlJc w:val="left"/>
      <w:pPr>
        <w:ind w:left="4320" w:hanging="360"/>
      </w:pPr>
      <w:rPr>
        <w:rFonts w:hint="default" w:ascii="Wingdings" w:hAnsi="Wingdings"/>
      </w:rPr>
    </w:lvl>
    <w:lvl w:ilvl="6" w:tplc="DFE2713E">
      <w:start w:val="1"/>
      <w:numFmt w:val="bullet"/>
      <w:lvlText w:val=""/>
      <w:lvlJc w:val="left"/>
      <w:pPr>
        <w:ind w:left="5040" w:hanging="360"/>
      </w:pPr>
      <w:rPr>
        <w:rFonts w:hint="default" w:ascii="Symbol" w:hAnsi="Symbol"/>
      </w:rPr>
    </w:lvl>
    <w:lvl w:ilvl="7" w:tplc="DF320858">
      <w:start w:val="1"/>
      <w:numFmt w:val="bullet"/>
      <w:lvlText w:val="o"/>
      <w:lvlJc w:val="left"/>
      <w:pPr>
        <w:ind w:left="5760" w:hanging="360"/>
      </w:pPr>
      <w:rPr>
        <w:rFonts w:hint="default" w:ascii="Courier New" w:hAnsi="Courier New"/>
      </w:rPr>
    </w:lvl>
    <w:lvl w:ilvl="8" w:tplc="5B402DDC">
      <w:start w:val="1"/>
      <w:numFmt w:val="bullet"/>
      <w:lvlText w:val=""/>
      <w:lvlJc w:val="left"/>
      <w:pPr>
        <w:ind w:left="6480" w:hanging="360"/>
      </w:pPr>
      <w:rPr>
        <w:rFonts w:hint="default" w:ascii="Wingdings" w:hAnsi="Wingdings"/>
      </w:rPr>
    </w:lvl>
  </w:abstractNum>
  <w:num w:numId="25">
    <w:abstractNumId w:val="24"/>
  </w:num>
  <w:num w:numId="24">
    <w:abstractNumId w:val="23"/>
  </w:num>
  <w:num w:numId="23">
    <w:abstractNumId w:val="22"/>
  </w:num>
  <w:num w:numId="22">
    <w:abstractNumId w:val="21"/>
  </w:num>
  <w:num w:numId="1" w16cid:durableId="1719091104">
    <w:abstractNumId w:val="20"/>
  </w:num>
  <w:num w:numId="2" w16cid:durableId="588274442">
    <w:abstractNumId w:val="3"/>
  </w:num>
  <w:num w:numId="3" w16cid:durableId="339897408">
    <w:abstractNumId w:val="14"/>
  </w:num>
  <w:num w:numId="4" w16cid:durableId="733235903">
    <w:abstractNumId w:val="18"/>
  </w:num>
  <w:num w:numId="5" w16cid:durableId="1389694553">
    <w:abstractNumId w:val="9"/>
  </w:num>
  <w:num w:numId="6" w16cid:durableId="904218786">
    <w:abstractNumId w:val="6"/>
  </w:num>
  <w:num w:numId="7" w16cid:durableId="1424106257">
    <w:abstractNumId w:val="16"/>
  </w:num>
  <w:num w:numId="8" w16cid:durableId="812648588">
    <w:abstractNumId w:val="17"/>
  </w:num>
  <w:num w:numId="9" w16cid:durableId="1074939525">
    <w:abstractNumId w:val="4"/>
  </w:num>
  <w:num w:numId="10" w16cid:durableId="485123550">
    <w:abstractNumId w:val="2"/>
  </w:num>
  <w:num w:numId="11" w16cid:durableId="1882328232">
    <w:abstractNumId w:val="8"/>
  </w:num>
  <w:num w:numId="12" w16cid:durableId="476722353">
    <w:abstractNumId w:val="15"/>
  </w:num>
  <w:num w:numId="13" w16cid:durableId="452332828">
    <w:abstractNumId w:val="19"/>
  </w:num>
  <w:num w:numId="14" w16cid:durableId="1429622524">
    <w:abstractNumId w:val="12"/>
  </w:num>
  <w:num w:numId="15" w16cid:durableId="1449081146">
    <w:abstractNumId w:val="0"/>
  </w:num>
  <w:num w:numId="16" w16cid:durableId="1306549568">
    <w:abstractNumId w:val="1"/>
  </w:num>
  <w:num w:numId="17" w16cid:durableId="1666934881">
    <w:abstractNumId w:val="5"/>
  </w:num>
  <w:num w:numId="18" w16cid:durableId="91125233">
    <w:abstractNumId w:val="11"/>
  </w:num>
  <w:num w:numId="19" w16cid:durableId="49766136">
    <w:abstractNumId w:val="7"/>
  </w:num>
  <w:num w:numId="20" w16cid:durableId="11613104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1177154">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hideGrammaticalErrors/>
  <w:activeWritingStyle w:lang="en-US" w:vendorID="64" w:dllVersion="0"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6F03"/>
    <w:rsid w:val="000117A1"/>
    <w:rsid w:val="00012A18"/>
    <w:rsid w:val="000132F1"/>
    <w:rsid w:val="00013349"/>
    <w:rsid w:val="00014760"/>
    <w:rsid w:val="00014A39"/>
    <w:rsid w:val="000154B3"/>
    <w:rsid w:val="000157F5"/>
    <w:rsid w:val="000174CE"/>
    <w:rsid w:val="00023DC1"/>
    <w:rsid w:val="00024CE5"/>
    <w:rsid w:val="0003177A"/>
    <w:rsid w:val="000322DF"/>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711AA"/>
    <w:rsid w:val="00080A79"/>
    <w:rsid w:val="00081B49"/>
    <w:rsid w:val="00084FC8"/>
    <w:rsid w:val="0009172A"/>
    <w:rsid w:val="00091BF0"/>
    <w:rsid w:val="0009262E"/>
    <w:rsid w:val="00094092"/>
    <w:rsid w:val="000942F1"/>
    <w:rsid w:val="00094B8B"/>
    <w:rsid w:val="00096BEB"/>
    <w:rsid w:val="000973A1"/>
    <w:rsid w:val="000A0DA3"/>
    <w:rsid w:val="000A2EBA"/>
    <w:rsid w:val="000A448D"/>
    <w:rsid w:val="000A4B34"/>
    <w:rsid w:val="000A4D1B"/>
    <w:rsid w:val="000A738F"/>
    <w:rsid w:val="000B404C"/>
    <w:rsid w:val="000B7FD6"/>
    <w:rsid w:val="000C32EB"/>
    <w:rsid w:val="000C44AB"/>
    <w:rsid w:val="000C6897"/>
    <w:rsid w:val="000D04AD"/>
    <w:rsid w:val="000D0B5F"/>
    <w:rsid w:val="000D1123"/>
    <w:rsid w:val="000D3894"/>
    <w:rsid w:val="000D45F3"/>
    <w:rsid w:val="000D4B57"/>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2E3"/>
    <w:rsid w:val="001255D2"/>
    <w:rsid w:val="00126055"/>
    <w:rsid w:val="001320F7"/>
    <w:rsid w:val="00132D08"/>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805AC"/>
    <w:rsid w:val="00184F03"/>
    <w:rsid w:val="00193C7B"/>
    <w:rsid w:val="00196093"/>
    <w:rsid w:val="001965FD"/>
    <w:rsid w:val="001A3401"/>
    <w:rsid w:val="001A5490"/>
    <w:rsid w:val="001A5890"/>
    <w:rsid w:val="001A6087"/>
    <w:rsid w:val="001A6186"/>
    <w:rsid w:val="001A7F6F"/>
    <w:rsid w:val="001B054C"/>
    <w:rsid w:val="001B5DC1"/>
    <w:rsid w:val="001B637C"/>
    <w:rsid w:val="001B6F7A"/>
    <w:rsid w:val="001C037B"/>
    <w:rsid w:val="001C1A50"/>
    <w:rsid w:val="001C1AF1"/>
    <w:rsid w:val="001C1E82"/>
    <w:rsid w:val="001C665E"/>
    <w:rsid w:val="001C77D2"/>
    <w:rsid w:val="001D2753"/>
    <w:rsid w:val="001D3BDC"/>
    <w:rsid w:val="001D3C7A"/>
    <w:rsid w:val="001D3EFB"/>
    <w:rsid w:val="001D4F26"/>
    <w:rsid w:val="001D7547"/>
    <w:rsid w:val="001D7F8E"/>
    <w:rsid w:val="001E181C"/>
    <w:rsid w:val="001E20E2"/>
    <w:rsid w:val="001E3C00"/>
    <w:rsid w:val="001E4B85"/>
    <w:rsid w:val="001E4BF0"/>
    <w:rsid w:val="001E5181"/>
    <w:rsid w:val="001E5C88"/>
    <w:rsid w:val="001E67E2"/>
    <w:rsid w:val="001F2B5F"/>
    <w:rsid w:val="001F31D5"/>
    <w:rsid w:val="001F37CB"/>
    <w:rsid w:val="001F3B84"/>
    <w:rsid w:val="001F3D85"/>
    <w:rsid w:val="001F49B2"/>
    <w:rsid w:val="001F4E3D"/>
    <w:rsid w:val="00200698"/>
    <w:rsid w:val="0020465C"/>
    <w:rsid w:val="00204EF1"/>
    <w:rsid w:val="002061F2"/>
    <w:rsid w:val="00206D17"/>
    <w:rsid w:val="00207B72"/>
    <w:rsid w:val="0021005C"/>
    <w:rsid w:val="0021292B"/>
    <w:rsid w:val="0021368F"/>
    <w:rsid w:val="0021475A"/>
    <w:rsid w:val="00215880"/>
    <w:rsid w:val="002163B9"/>
    <w:rsid w:val="002205E0"/>
    <w:rsid w:val="00220F6E"/>
    <w:rsid w:val="00221421"/>
    <w:rsid w:val="00221588"/>
    <w:rsid w:val="00222A95"/>
    <w:rsid w:val="00224821"/>
    <w:rsid w:val="0022555D"/>
    <w:rsid w:val="00227DC2"/>
    <w:rsid w:val="00227E77"/>
    <w:rsid w:val="0023099E"/>
    <w:rsid w:val="00230C6F"/>
    <w:rsid w:val="0023383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3B1C"/>
    <w:rsid w:val="00274834"/>
    <w:rsid w:val="00277335"/>
    <w:rsid w:val="00277677"/>
    <w:rsid w:val="002817CC"/>
    <w:rsid w:val="00281A60"/>
    <w:rsid w:val="00282748"/>
    <w:rsid w:val="002834E9"/>
    <w:rsid w:val="002900B3"/>
    <w:rsid w:val="00290A1D"/>
    <w:rsid w:val="00290AA0"/>
    <w:rsid w:val="00292545"/>
    <w:rsid w:val="002935A3"/>
    <w:rsid w:val="002A3167"/>
    <w:rsid w:val="002A32F6"/>
    <w:rsid w:val="002A4E70"/>
    <w:rsid w:val="002A7484"/>
    <w:rsid w:val="002A76F2"/>
    <w:rsid w:val="002B0283"/>
    <w:rsid w:val="002B16EC"/>
    <w:rsid w:val="002B27D1"/>
    <w:rsid w:val="002B5136"/>
    <w:rsid w:val="002B7B09"/>
    <w:rsid w:val="002B7B83"/>
    <w:rsid w:val="002C3C43"/>
    <w:rsid w:val="002C3E14"/>
    <w:rsid w:val="002C7890"/>
    <w:rsid w:val="002D0E05"/>
    <w:rsid w:val="002D1ED1"/>
    <w:rsid w:val="002D6C60"/>
    <w:rsid w:val="002D72D9"/>
    <w:rsid w:val="002D743E"/>
    <w:rsid w:val="002D7DDD"/>
    <w:rsid w:val="002E2FFC"/>
    <w:rsid w:val="002E3C57"/>
    <w:rsid w:val="002E4C48"/>
    <w:rsid w:val="002E5C8B"/>
    <w:rsid w:val="002E7403"/>
    <w:rsid w:val="002E7FA7"/>
    <w:rsid w:val="002F285A"/>
    <w:rsid w:val="002F4F02"/>
    <w:rsid w:val="002F6CAB"/>
    <w:rsid w:val="003028F7"/>
    <w:rsid w:val="003058BE"/>
    <w:rsid w:val="00305C1D"/>
    <w:rsid w:val="00311CE0"/>
    <w:rsid w:val="00314BF7"/>
    <w:rsid w:val="003160AB"/>
    <w:rsid w:val="00321818"/>
    <w:rsid w:val="003232DC"/>
    <w:rsid w:val="003234D6"/>
    <w:rsid w:val="00323AEE"/>
    <w:rsid w:val="003276DD"/>
    <w:rsid w:val="00331E90"/>
    <w:rsid w:val="0033389C"/>
    <w:rsid w:val="0033448C"/>
    <w:rsid w:val="003401C7"/>
    <w:rsid w:val="0034028D"/>
    <w:rsid w:val="00340390"/>
    <w:rsid w:val="00341727"/>
    <w:rsid w:val="003419B0"/>
    <w:rsid w:val="003443A1"/>
    <w:rsid w:val="00344463"/>
    <w:rsid w:val="00344B74"/>
    <w:rsid w:val="0034569A"/>
    <w:rsid w:val="00347DFD"/>
    <w:rsid w:val="0035143F"/>
    <w:rsid w:val="00351706"/>
    <w:rsid w:val="00351B83"/>
    <w:rsid w:val="00354BED"/>
    <w:rsid w:val="003606AB"/>
    <w:rsid w:val="00364392"/>
    <w:rsid w:val="00365EDC"/>
    <w:rsid w:val="00367CB5"/>
    <w:rsid w:val="00367FC4"/>
    <w:rsid w:val="003733F3"/>
    <w:rsid w:val="0037343C"/>
    <w:rsid w:val="00374A8B"/>
    <w:rsid w:val="00376783"/>
    <w:rsid w:val="003767DB"/>
    <w:rsid w:val="003767E4"/>
    <w:rsid w:val="0037761E"/>
    <w:rsid w:val="00380412"/>
    <w:rsid w:val="003815EA"/>
    <w:rsid w:val="00383C6C"/>
    <w:rsid w:val="00384CF1"/>
    <w:rsid w:val="003868DA"/>
    <w:rsid w:val="0038777F"/>
    <w:rsid w:val="00387DED"/>
    <w:rsid w:val="00387F25"/>
    <w:rsid w:val="00391D86"/>
    <w:rsid w:val="00392255"/>
    <w:rsid w:val="00394042"/>
    <w:rsid w:val="00396E9B"/>
    <w:rsid w:val="003A2D0D"/>
    <w:rsid w:val="003A2F28"/>
    <w:rsid w:val="003A6715"/>
    <w:rsid w:val="003A7E47"/>
    <w:rsid w:val="003B2571"/>
    <w:rsid w:val="003B5094"/>
    <w:rsid w:val="003B609A"/>
    <w:rsid w:val="003C019C"/>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0806"/>
    <w:rsid w:val="00475197"/>
    <w:rsid w:val="00475674"/>
    <w:rsid w:val="00475BD7"/>
    <w:rsid w:val="004772BA"/>
    <w:rsid w:val="004775BB"/>
    <w:rsid w:val="0048193B"/>
    <w:rsid w:val="00482201"/>
    <w:rsid w:val="00483B63"/>
    <w:rsid w:val="0048464D"/>
    <w:rsid w:val="004867D3"/>
    <w:rsid w:val="00487ADB"/>
    <w:rsid w:val="004933A1"/>
    <w:rsid w:val="00493BC1"/>
    <w:rsid w:val="00494568"/>
    <w:rsid w:val="004951CD"/>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E2B1F"/>
    <w:rsid w:val="004E454D"/>
    <w:rsid w:val="004E52A6"/>
    <w:rsid w:val="004E57C2"/>
    <w:rsid w:val="004E7E15"/>
    <w:rsid w:val="004F34DD"/>
    <w:rsid w:val="004F4AA5"/>
    <w:rsid w:val="004F6406"/>
    <w:rsid w:val="004F651E"/>
    <w:rsid w:val="00505D0B"/>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82"/>
    <w:rsid w:val="005905ED"/>
    <w:rsid w:val="00590E15"/>
    <w:rsid w:val="00594545"/>
    <w:rsid w:val="00595CD1"/>
    <w:rsid w:val="0059688D"/>
    <w:rsid w:val="00597358"/>
    <w:rsid w:val="005977EB"/>
    <w:rsid w:val="0059783C"/>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4AFF"/>
    <w:rsid w:val="005F4D54"/>
    <w:rsid w:val="005F5DA9"/>
    <w:rsid w:val="005F6706"/>
    <w:rsid w:val="005F7B39"/>
    <w:rsid w:val="00600D66"/>
    <w:rsid w:val="00601AB8"/>
    <w:rsid w:val="00603A93"/>
    <w:rsid w:val="00607083"/>
    <w:rsid w:val="006104BC"/>
    <w:rsid w:val="0061067E"/>
    <w:rsid w:val="0061307E"/>
    <w:rsid w:val="00613278"/>
    <w:rsid w:val="00615E8C"/>
    <w:rsid w:val="00617533"/>
    <w:rsid w:val="0062509B"/>
    <w:rsid w:val="00625E61"/>
    <w:rsid w:val="00626111"/>
    <w:rsid w:val="00630853"/>
    <w:rsid w:val="00630EAB"/>
    <w:rsid w:val="006319F6"/>
    <w:rsid w:val="00631E44"/>
    <w:rsid w:val="00632A66"/>
    <w:rsid w:val="006341EB"/>
    <w:rsid w:val="006376B1"/>
    <w:rsid w:val="00642208"/>
    <w:rsid w:val="006422DD"/>
    <w:rsid w:val="00645B6B"/>
    <w:rsid w:val="00647181"/>
    <w:rsid w:val="006501BF"/>
    <w:rsid w:val="00651577"/>
    <w:rsid w:val="00652B80"/>
    <w:rsid w:val="00653A46"/>
    <w:rsid w:val="00655648"/>
    <w:rsid w:val="00655CB1"/>
    <w:rsid w:val="0065626F"/>
    <w:rsid w:val="0065631B"/>
    <w:rsid w:val="006567CB"/>
    <w:rsid w:val="00656839"/>
    <w:rsid w:val="00656FF3"/>
    <w:rsid w:val="00660A0B"/>
    <w:rsid w:val="006615DF"/>
    <w:rsid w:val="00662939"/>
    <w:rsid w:val="00663B35"/>
    <w:rsid w:val="00663CAB"/>
    <w:rsid w:val="006642A7"/>
    <w:rsid w:val="006655C4"/>
    <w:rsid w:val="00666411"/>
    <w:rsid w:val="00667B88"/>
    <w:rsid w:val="00670326"/>
    <w:rsid w:val="006706B5"/>
    <w:rsid w:val="006712D8"/>
    <w:rsid w:val="00672AD6"/>
    <w:rsid w:val="00675C8C"/>
    <w:rsid w:val="006776F6"/>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3E9B"/>
    <w:rsid w:val="006B4C7C"/>
    <w:rsid w:val="006B70AB"/>
    <w:rsid w:val="006B71E6"/>
    <w:rsid w:val="006B7F24"/>
    <w:rsid w:val="006C030B"/>
    <w:rsid w:val="006C13E9"/>
    <w:rsid w:val="006C1ACE"/>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10A62"/>
    <w:rsid w:val="00712187"/>
    <w:rsid w:val="00712AE9"/>
    <w:rsid w:val="00713D0E"/>
    <w:rsid w:val="007154E9"/>
    <w:rsid w:val="00715F7A"/>
    <w:rsid w:val="00716A97"/>
    <w:rsid w:val="0072062A"/>
    <w:rsid w:val="0072083D"/>
    <w:rsid w:val="0072214D"/>
    <w:rsid w:val="0072284C"/>
    <w:rsid w:val="00724040"/>
    <w:rsid w:val="00727CF7"/>
    <w:rsid w:val="00730990"/>
    <w:rsid w:val="00731C5C"/>
    <w:rsid w:val="007322FB"/>
    <w:rsid w:val="00732F63"/>
    <w:rsid w:val="007350A7"/>
    <w:rsid w:val="0073673E"/>
    <w:rsid w:val="00736EE0"/>
    <w:rsid w:val="00737BA1"/>
    <w:rsid w:val="00740E67"/>
    <w:rsid w:val="00743075"/>
    <w:rsid w:val="007438C2"/>
    <w:rsid w:val="00743D25"/>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85E"/>
    <w:rsid w:val="00776B8C"/>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25958"/>
    <w:rsid w:val="00830711"/>
    <w:rsid w:val="00830BB0"/>
    <w:rsid w:val="008310D4"/>
    <w:rsid w:val="00832448"/>
    <w:rsid w:val="00834B7B"/>
    <w:rsid w:val="00836F6E"/>
    <w:rsid w:val="008442E0"/>
    <w:rsid w:val="00845596"/>
    <w:rsid w:val="00845D40"/>
    <w:rsid w:val="00850F17"/>
    <w:rsid w:val="00853FFA"/>
    <w:rsid w:val="0085596F"/>
    <w:rsid w:val="00860224"/>
    <w:rsid w:val="008611D7"/>
    <w:rsid w:val="0086470C"/>
    <w:rsid w:val="008657DA"/>
    <w:rsid w:val="00866650"/>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913"/>
    <w:rsid w:val="008B4D38"/>
    <w:rsid w:val="008B4FC2"/>
    <w:rsid w:val="008B61ED"/>
    <w:rsid w:val="008B65EF"/>
    <w:rsid w:val="008B704E"/>
    <w:rsid w:val="008C0382"/>
    <w:rsid w:val="008C0885"/>
    <w:rsid w:val="008C0B04"/>
    <w:rsid w:val="008C447C"/>
    <w:rsid w:val="008C6389"/>
    <w:rsid w:val="008D076D"/>
    <w:rsid w:val="008D2382"/>
    <w:rsid w:val="008D28BD"/>
    <w:rsid w:val="008D418F"/>
    <w:rsid w:val="008D4307"/>
    <w:rsid w:val="008D5795"/>
    <w:rsid w:val="008D610B"/>
    <w:rsid w:val="008D7916"/>
    <w:rsid w:val="008E22FF"/>
    <w:rsid w:val="008E2B03"/>
    <w:rsid w:val="008E2EB1"/>
    <w:rsid w:val="008E434A"/>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21AA"/>
    <w:rsid w:val="0093347F"/>
    <w:rsid w:val="0093679F"/>
    <w:rsid w:val="00936F34"/>
    <w:rsid w:val="00937F30"/>
    <w:rsid w:val="009407AA"/>
    <w:rsid w:val="00944E0C"/>
    <w:rsid w:val="00945089"/>
    <w:rsid w:val="0095181C"/>
    <w:rsid w:val="009526E1"/>
    <w:rsid w:val="00956276"/>
    <w:rsid w:val="009578F9"/>
    <w:rsid w:val="0096542B"/>
    <w:rsid w:val="00967EED"/>
    <w:rsid w:val="00970B20"/>
    <w:rsid w:val="00976D05"/>
    <w:rsid w:val="00977F82"/>
    <w:rsid w:val="009802CA"/>
    <w:rsid w:val="00981719"/>
    <w:rsid w:val="00984F90"/>
    <w:rsid w:val="0098615E"/>
    <w:rsid w:val="00987E64"/>
    <w:rsid w:val="009911E4"/>
    <w:rsid w:val="009925F3"/>
    <w:rsid w:val="009929AA"/>
    <w:rsid w:val="009931B7"/>
    <w:rsid w:val="00993719"/>
    <w:rsid w:val="009947CA"/>
    <w:rsid w:val="00994D94"/>
    <w:rsid w:val="00995A66"/>
    <w:rsid w:val="00996B6A"/>
    <w:rsid w:val="00996D78"/>
    <w:rsid w:val="009977CB"/>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0EA"/>
    <w:rsid w:val="009E2229"/>
    <w:rsid w:val="009E2675"/>
    <w:rsid w:val="009E4557"/>
    <w:rsid w:val="009E460B"/>
    <w:rsid w:val="009E503F"/>
    <w:rsid w:val="009E6965"/>
    <w:rsid w:val="009E7C7E"/>
    <w:rsid w:val="009F2992"/>
    <w:rsid w:val="009F3880"/>
    <w:rsid w:val="009F5513"/>
    <w:rsid w:val="009F634A"/>
    <w:rsid w:val="009F70D2"/>
    <w:rsid w:val="009F7528"/>
    <w:rsid w:val="00A00037"/>
    <w:rsid w:val="00A0452A"/>
    <w:rsid w:val="00A05A6C"/>
    <w:rsid w:val="00A06770"/>
    <w:rsid w:val="00A11909"/>
    <w:rsid w:val="00A141AD"/>
    <w:rsid w:val="00A16CF1"/>
    <w:rsid w:val="00A17041"/>
    <w:rsid w:val="00A22445"/>
    <w:rsid w:val="00A23570"/>
    <w:rsid w:val="00A2465A"/>
    <w:rsid w:val="00A25BB1"/>
    <w:rsid w:val="00A25F70"/>
    <w:rsid w:val="00A25FD6"/>
    <w:rsid w:val="00A272E5"/>
    <w:rsid w:val="00A277CD"/>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B0E"/>
    <w:rsid w:val="00A52ED9"/>
    <w:rsid w:val="00A54022"/>
    <w:rsid w:val="00A55B20"/>
    <w:rsid w:val="00A56D04"/>
    <w:rsid w:val="00A56E66"/>
    <w:rsid w:val="00A6081F"/>
    <w:rsid w:val="00A62F86"/>
    <w:rsid w:val="00A62FD9"/>
    <w:rsid w:val="00A65D2A"/>
    <w:rsid w:val="00A703DB"/>
    <w:rsid w:val="00A726A2"/>
    <w:rsid w:val="00A74C06"/>
    <w:rsid w:val="00A801AC"/>
    <w:rsid w:val="00A803A7"/>
    <w:rsid w:val="00A806C0"/>
    <w:rsid w:val="00A817EA"/>
    <w:rsid w:val="00A87694"/>
    <w:rsid w:val="00A91D86"/>
    <w:rsid w:val="00A93567"/>
    <w:rsid w:val="00A941CC"/>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7244"/>
    <w:rsid w:val="00AC1C17"/>
    <w:rsid w:val="00AC4D19"/>
    <w:rsid w:val="00AC6725"/>
    <w:rsid w:val="00AD09C3"/>
    <w:rsid w:val="00AD1CFC"/>
    <w:rsid w:val="00AD75F2"/>
    <w:rsid w:val="00AD789B"/>
    <w:rsid w:val="00AE05F9"/>
    <w:rsid w:val="00AE3C12"/>
    <w:rsid w:val="00AE4D40"/>
    <w:rsid w:val="00AF3036"/>
    <w:rsid w:val="00AF39D5"/>
    <w:rsid w:val="00AF46E7"/>
    <w:rsid w:val="00AF4B85"/>
    <w:rsid w:val="00AF577F"/>
    <w:rsid w:val="00AF5E96"/>
    <w:rsid w:val="00B00DE2"/>
    <w:rsid w:val="00B02312"/>
    <w:rsid w:val="00B07BDE"/>
    <w:rsid w:val="00B11F42"/>
    <w:rsid w:val="00B129DF"/>
    <w:rsid w:val="00B1520F"/>
    <w:rsid w:val="00B16B11"/>
    <w:rsid w:val="00B201D4"/>
    <w:rsid w:val="00B22BF7"/>
    <w:rsid w:val="00B24BD7"/>
    <w:rsid w:val="00B264D6"/>
    <w:rsid w:val="00B3077A"/>
    <w:rsid w:val="00B309A5"/>
    <w:rsid w:val="00B30FE7"/>
    <w:rsid w:val="00B3237A"/>
    <w:rsid w:val="00B336BD"/>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6B91"/>
    <w:rsid w:val="00B66FBA"/>
    <w:rsid w:val="00B67A96"/>
    <w:rsid w:val="00B710CE"/>
    <w:rsid w:val="00B71986"/>
    <w:rsid w:val="00B74194"/>
    <w:rsid w:val="00B75153"/>
    <w:rsid w:val="00B76379"/>
    <w:rsid w:val="00B763F5"/>
    <w:rsid w:val="00B7680D"/>
    <w:rsid w:val="00B778EC"/>
    <w:rsid w:val="00B804CC"/>
    <w:rsid w:val="00B80F12"/>
    <w:rsid w:val="00B81D6E"/>
    <w:rsid w:val="00B83292"/>
    <w:rsid w:val="00B868AE"/>
    <w:rsid w:val="00B86C55"/>
    <w:rsid w:val="00B917C5"/>
    <w:rsid w:val="00B9181D"/>
    <w:rsid w:val="00B94B61"/>
    <w:rsid w:val="00B94D62"/>
    <w:rsid w:val="00B974EB"/>
    <w:rsid w:val="00B9753B"/>
    <w:rsid w:val="00BA1833"/>
    <w:rsid w:val="00BA1B14"/>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2E1B"/>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32C0"/>
    <w:rsid w:val="00C6445F"/>
    <w:rsid w:val="00C656B4"/>
    <w:rsid w:val="00C66D74"/>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546C"/>
    <w:rsid w:val="00CA2616"/>
    <w:rsid w:val="00CA572C"/>
    <w:rsid w:val="00CA6E54"/>
    <w:rsid w:val="00CA7225"/>
    <w:rsid w:val="00CA77A9"/>
    <w:rsid w:val="00CB549B"/>
    <w:rsid w:val="00CB6CA9"/>
    <w:rsid w:val="00CB791A"/>
    <w:rsid w:val="00CC1151"/>
    <w:rsid w:val="00CC14A3"/>
    <w:rsid w:val="00CC32FA"/>
    <w:rsid w:val="00CC515C"/>
    <w:rsid w:val="00CC771E"/>
    <w:rsid w:val="00CD1EF2"/>
    <w:rsid w:val="00CD32C6"/>
    <w:rsid w:val="00CD6493"/>
    <w:rsid w:val="00CE322E"/>
    <w:rsid w:val="00CE33AD"/>
    <w:rsid w:val="00CE4A42"/>
    <w:rsid w:val="00CE610E"/>
    <w:rsid w:val="00CE6A3B"/>
    <w:rsid w:val="00CE7987"/>
    <w:rsid w:val="00CF1F75"/>
    <w:rsid w:val="00CF2CDD"/>
    <w:rsid w:val="00CF3110"/>
    <w:rsid w:val="00CF37FE"/>
    <w:rsid w:val="00CF5BA7"/>
    <w:rsid w:val="00CF6EFC"/>
    <w:rsid w:val="00D0314D"/>
    <w:rsid w:val="00D05688"/>
    <w:rsid w:val="00D05EB6"/>
    <w:rsid w:val="00D06577"/>
    <w:rsid w:val="00D075EF"/>
    <w:rsid w:val="00D107AA"/>
    <w:rsid w:val="00D13576"/>
    <w:rsid w:val="00D13FE5"/>
    <w:rsid w:val="00D1426D"/>
    <w:rsid w:val="00D1447B"/>
    <w:rsid w:val="00D14AAF"/>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638C1"/>
    <w:rsid w:val="00D709D7"/>
    <w:rsid w:val="00D74AB9"/>
    <w:rsid w:val="00D75475"/>
    <w:rsid w:val="00D7791A"/>
    <w:rsid w:val="00D80B6C"/>
    <w:rsid w:val="00D826B0"/>
    <w:rsid w:val="00D85D94"/>
    <w:rsid w:val="00D86E33"/>
    <w:rsid w:val="00D923BB"/>
    <w:rsid w:val="00D940FD"/>
    <w:rsid w:val="00D947B3"/>
    <w:rsid w:val="00D954C5"/>
    <w:rsid w:val="00D96963"/>
    <w:rsid w:val="00D96A86"/>
    <w:rsid w:val="00DA4158"/>
    <w:rsid w:val="00DA419A"/>
    <w:rsid w:val="00DA4CA8"/>
    <w:rsid w:val="00DA568B"/>
    <w:rsid w:val="00DA705C"/>
    <w:rsid w:val="00DB042A"/>
    <w:rsid w:val="00DB2F58"/>
    <w:rsid w:val="00DB3D42"/>
    <w:rsid w:val="00DB4F71"/>
    <w:rsid w:val="00DB5152"/>
    <w:rsid w:val="00DB58AA"/>
    <w:rsid w:val="00DB7C97"/>
    <w:rsid w:val="00DC17B4"/>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5B5"/>
    <w:rsid w:val="00E30A86"/>
    <w:rsid w:val="00E313E3"/>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E31"/>
    <w:rsid w:val="00E72A0B"/>
    <w:rsid w:val="00E76637"/>
    <w:rsid w:val="00E77378"/>
    <w:rsid w:val="00E80320"/>
    <w:rsid w:val="00E80C85"/>
    <w:rsid w:val="00E85D7B"/>
    <w:rsid w:val="00E874BC"/>
    <w:rsid w:val="00E900C6"/>
    <w:rsid w:val="00E90710"/>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3285"/>
    <w:rsid w:val="00F151DA"/>
    <w:rsid w:val="00F200C2"/>
    <w:rsid w:val="00F20DE6"/>
    <w:rsid w:val="00F26B81"/>
    <w:rsid w:val="00F307B7"/>
    <w:rsid w:val="00F327EA"/>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97ACA"/>
    <w:rsid w:val="00FA0A3C"/>
    <w:rsid w:val="00FA29B2"/>
    <w:rsid w:val="00FA5AD9"/>
    <w:rsid w:val="00FA6F70"/>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D58"/>
    <w:rsid w:val="00FE2047"/>
    <w:rsid w:val="00FE31F0"/>
    <w:rsid w:val="00FF08CD"/>
    <w:rsid w:val="00FF0EAB"/>
    <w:rsid w:val="00FF6879"/>
    <w:rsid w:val="00FF7425"/>
    <w:rsid w:val="0337AEE3"/>
    <w:rsid w:val="03D1E99D"/>
    <w:rsid w:val="04D1B4BE"/>
    <w:rsid w:val="05BBF3CA"/>
    <w:rsid w:val="08A9DCEC"/>
    <w:rsid w:val="0A478607"/>
    <w:rsid w:val="0EF847BD"/>
    <w:rsid w:val="14BD641E"/>
    <w:rsid w:val="150BEB0C"/>
    <w:rsid w:val="15184F9D"/>
    <w:rsid w:val="1712EE10"/>
    <w:rsid w:val="186BA0BC"/>
    <w:rsid w:val="18728DE7"/>
    <w:rsid w:val="191B10EE"/>
    <w:rsid w:val="1B71AFF0"/>
    <w:rsid w:val="1C08B95C"/>
    <w:rsid w:val="22BD2857"/>
    <w:rsid w:val="2A056BA6"/>
    <w:rsid w:val="2C383192"/>
    <w:rsid w:val="2D0E8A79"/>
    <w:rsid w:val="330C4A78"/>
    <w:rsid w:val="350BE172"/>
    <w:rsid w:val="35BA0DD8"/>
    <w:rsid w:val="3664FA8C"/>
    <w:rsid w:val="368B2507"/>
    <w:rsid w:val="39F8A7DF"/>
    <w:rsid w:val="3AFF408E"/>
    <w:rsid w:val="3D981E1E"/>
    <w:rsid w:val="3DD7734B"/>
    <w:rsid w:val="418B4A05"/>
    <w:rsid w:val="41BDB3BC"/>
    <w:rsid w:val="42EBDE4D"/>
    <w:rsid w:val="43F8EDFD"/>
    <w:rsid w:val="46655C65"/>
    <w:rsid w:val="47911D65"/>
    <w:rsid w:val="47F38FE6"/>
    <w:rsid w:val="4A15EC48"/>
    <w:rsid w:val="4B871C0C"/>
    <w:rsid w:val="4C729C82"/>
    <w:rsid w:val="4E254F5D"/>
    <w:rsid w:val="4E2EA32C"/>
    <w:rsid w:val="4EAD52B4"/>
    <w:rsid w:val="4F7B3265"/>
    <w:rsid w:val="52AA4229"/>
    <w:rsid w:val="56DEF930"/>
    <w:rsid w:val="6149DEF9"/>
    <w:rsid w:val="63C23343"/>
    <w:rsid w:val="68140543"/>
    <w:rsid w:val="6B5F0224"/>
    <w:rsid w:val="6F77E70E"/>
    <w:rsid w:val="73DEB3EB"/>
    <w:rsid w:val="741C923F"/>
    <w:rsid w:val="785A7BF0"/>
    <w:rsid w:val="79707633"/>
    <w:rsid w:val="7DFF9D3E"/>
    <w:rsid w:val="7F6B82EE"/>
    <w:rsid w:val="7FF0427C"/>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B53F9D"/>
    <w:pPr>
      <w:spacing w:after="0" w:line="312" w:lineRule="auto"/>
      <w:jc w:val="both"/>
    </w:pPr>
    <w:rPr>
      <w:rFonts w:ascii="Arial" w:hAnsi="Arial" w:eastAsiaTheme="minorEastAsia"/>
      <w:sz w:val="20"/>
      <w:szCs w:val="20"/>
    </w:rPr>
  </w:style>
  <w:style w:type="paragraph" w:styleId="berschrift1">
    <w:name w:val="heading 1"/>
    <w:basedOn w:val="Standard"/>
    <w:next w:val="Standard"/>
    <w:link w:val="berschrift1Zchn"/>
    <w:qFormat/>
    <w:rsid w:val="00544905"/>
    <w:pPr>
      <w:keepNext/>
      <w:numPr>
        <w:numId w:val="16"/>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berschrift2">
    <w:name w:val="heading 2"/>
    <w:basedOn w:val="berschrift1"/>
    <w:next w:val="Standard"/>
    <w:link w:val="berschrift2Zchn"/>
    <w:qFormat/>
    <w:rsid w:val="00544905"/>
    <w:pPr>
      <w:numPr>
        <w:ilvl w:val="1"/>
      </w:numPr>
      <w:spacing w:before="280" w:after="120"/>
      <w:outlineLvl w:val="1"/>
    </w:pPr>
    <w:rPr>
      <w:caps w:val="0"/>
    </w:rPr>
  </w:style>
  <w:style w:type="paragraph" w:styleId="berschrift3">
    <w:name w:val="heading 3"/>
    <w:basedOn w:val="berschrift2"/>
    <w:next w:val="Standard"/>
    <w:link w:val="berschrift3Zchn"/>
    <w:qFormat/>
    <w:rsid w:val="00544905"/>
    <w:pPr>
      <w:numPr>
        <w:ilvl w:val="2"/>
      </w:numPr>
      <w:spacing w:after="60"/>
      <w:outlineLvl w:val="2"/>
    </w:pPr>
    <w:rPr>
      <w:sz w:val="22"/>
    </w:rPr>
  </w:style>
  <w:style w:type="paragraph" w:styleId="berschrift4">
    <w:name w:val="heading 4"/>
    <w:basedOn w:val="berschrift3"/>
    <w:next w:val="Standard"/>
    <w:link w:val="berschrift4Zchn"/>
    <w:qFormat/>
    <w:rsid w:val="00544905"/>
    <w:pPr>
      <w:numPr>
        <w:ilvl w:val="0"/>
        <w:numId w:val="0"/>
      </w:numPr>
      <w:spacing w:line="312" w:lineRule="auto"/>
      <w:outlineLvl w:val="3"/>
    </w:pPr>
    <w:rPr>
      <w:i/>
      <w:iCs/>
      <w:kern w:val="32"/>
      <w:sz w:val="20"/>
      <w:szCs w:val="28"/>
    </w:rPr>
  </w:style>
  <w:style w:type="paragraph" w:styleId="berschrift5">
    <w:name w:val="heading 5"/>
    <w:basedOn w:val="berschrift4"/>
    <w:next w:val="Standard"/>
    <w:link w:val="berschrift5Zchn"/>
    <w:qFormat/>
    <w:rsid w:val="006712D8"/>
    <w:pPr>
      <w:outlineLvl w:val="4"/>
    </w:pPr>
    <w:rPr>
      <w:b/>
      <w:bCs/>
      <w:i w:val="0"/>
      <w:iCs w:val="0"/>
      <w:szCs w:val="26"/>
    </w:rPr>
  </w:style>
  <w:style w:type="paragraph" w:styleId="berschrift6">
    <w:name w:val="heading 6"/>
    <w:basedOn w:val="Standard"/>
    <w:next w:val="Standard"/>
    <w:link w:val="berschrift6Zchn"/>
    <w:uiPriority w:val="9"/>
    <w:unhideWhenUsed/>
    <w:rsid w:val="00544905"/>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berschrift9">
    <w:name w:val="heading 9"/>
    <w:basedOn w:val="Standard"/>
    <w:next w:val="Standard"/>
    <w:link w:val="berschrift9Zchn"/>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rsid w:val="00544905"/>
    <w:rPr>
      <w:rFonts w:ascii="Arial" w:hAnsi="Arial" w:cs="Arial"/>
      <w:caps/>
      <w:color w:val="7F7F7F" w:themeColor="text1" w:themeTint="80"/>
      <w:sz w:val="28"/>
      <w:lang w:val="en-GB" w:eastAsia="nl-NL"/>
    </w:rPr>
  </w:style>
  <w:style w:type="character" w:styleId="berschrift2Zchn" w:customStyle="1">
    <w:name w:val="Überschrift 2 Zchn"/>
    <w:basedOn w:val="Absatz-Standardschriftart"/>
    <w:link w:val="berschrift2"/>
    <w:rsid w:val="00544905"/>
    <w:rPr>
      <w:rFonts w:ascii="Arial" w:hAnsi="Arial" w:cs="Arial"/>
      <w:color w:val="7F7F7F" w:themeColor="text1" w:themeTint="80"/>
      <w:sz w:val="28"/>
      <w:lang w:val="en-GB" w:eastAsia="nl-NL"/>
    </w:rPr>
  </w:style>
  <w:style w:type="character" w:styleId="berschrift3Zchn" w:customStyle="1">
    <w:name w:val="Überschrift 3 Zchn"/>
    <w:basedOn w:val="Absatz-Standardschriftart"/>
    <w:link w:val="berschrift3"/>
    <w:rsid w:val="00544905"/>
    <w:rPr>
      <w:rFonts w:ascii="Arial" w:hAnsi="Arial" w:cs="Arial"/>
      <w:color w:val="7F7F7F" w:themeColor="text1" w:themeTint="80"/>
      <w:lang w:val="en-GB" w:eastAsia="nl-NL"/>
    </w:rPr>
  </w:style>
  <w:style w:type="character" w:styleId="berschrift4Zchn" w:customStyle="1">
    <w:name w:val="Überschrift 4 Zchn"/>
    <w:basedOn w:val="Absatz-Standardschriftart"/>
    <w:link w:val="berschrift4"/>
    <w:rsid w:val="00544905"/>
    <w:rPr>
      <w:rFonts w:ascii="Arial" w:hAnsi="Arial" w:cs="Arial"/>
      <w:i/>
      <w:iCs/>
      <w:color w:val="7F7F7F" w:themeColor="text1" w:themeTint="80"/>
      <w:kern w:val="32"/>
      <w:sz w:val="20"/>
      <w:szCs w:val="28"/>
      <w:lang w:val="en-GB" w:eastAsia="nl-NL"/>
    </w:rPr>
  </w:style>
  <w:style w:type="character" w:styleId="berschrift5Zchn" w:customStyle="1">
    <w:name w:val="Überschrift 5 Zchn"/>
    <w:basedOn w:val="Absatz-Standardschriftart"/>
    <w:link w:val="berschrift5"/>
    <w:rsid w:val="006712D8"/>
    <w:rPr>
      <w:rFonts w:ascii="Arial" w:hAnsi="Arial" w:cs="Arial"/>
      <w:b/>
      <w:bCs/>
      <w:color w:val="7F7F7F" w:themeColor="text1" w:themeTint="80"/>
      <w:kern w:val="32"/>
      <w:sz w:val="20"/>
      <w:szCs w:val="26"/>
      <w:lang w:val="en-GB" w:eastAsia="nl-NL"/>
    </w:rPr>
  </w:style>
  <w:style w:type="character" w:styleId="berschrift6Zchn" w:customStyle="1">
    <w:name w:val="Überschrift 6 Zchn"/>
    <w:basedOn w:val="Absatz-Standardschriftart"/>
    <w:link w:val="berschrift6"/>
    <w:uiPriority w:val="9"/>
    <w:rsid w:val="00544905"/>
    <w:rPr>
      <w:rFonts w:ascii="Arial" w:hAnsi="Arial" w:eastAsiaTheme="majorEastAsia" w:cstheme="majorBidi"/>
      <w:i/>
      <w:iCs/>
      <w:sz w:val="20"/>
      <w:szCs w:val="20"/>
    </w:rPr>
  </w:style>
  <w:style w:type="character" w:styleId="berschrift7Zchn" w:customStyle="1">
    <w:name w:val="Überschrift 7 Zchn"/>
    <w:basedOn w:val="Absatz-Standardschriftart"/>
    <w:link w:val="berschrift7"/>
    <w:uiPriority w:val="9"/>
    <w:rsid w:val="00544905"/>
    <w:rPr>
      <w:rFonts w:asciiTheme="majorHAnsi" w:hAnsiTheme="majorHAnsi" w:eastAsiaTheme="majorEastAsia" w:cstheme="majorBidi"/>
      <w:i/>
      <w:iCs/>
      <w:color w:val="404040" w:themeColor="text1" w:themeTint="BF"/>
      <w:sz w:val="20"/>
      <w:szCs w:val="20"/>
    </w:rPr>
  </w:style>
  <w:style w:type="character" w:styleId="berschrift8Zchn" w:customStyle="1">
    <w:name w:val="Überschrift 8 Zchn"/>
    <w:basedOn w:val="Absatz-Standardschriftart"/>
    <w:link w:val="berschrift8"/>
    <w:uiPriority w:val="9"/>
    <w:semiHidden/>
    <w:rsid w:val="00544905"/>
    <w:rPr>
      <w:rFonts w:asciiTheme="majorHAnsi" w:hAnsiTheme="majorHAnsi" w:eastAsiaTheme="majorEastAsia" w:cstheme="majorBidi"/>
      <w:color w:val="404040" w:themeColor="text1" w:themeTint="BF"/>
      <w:sz w:val="20"/>
      <w:szCs w:val="20"/>
    </w:rPr>
  </w:style>
  <w:style w:type="character" w:styleId="berschrift9Zchn" w:customStyle="1">
    <w:name w:val="Überschrift 9 Zchn"/>
    <w:basedOn w:val="Absatz-Standardschriftart"/>
    <w:link w:val="berschrift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Aufzhlungszeichen"/>
    <w:link w:val="BulletPointChar"/>
    <w:autoRedefine/>
    <w:qFormat/>
    <w:rsid w:val="0035143F"/>
    <w:pPr>
      <w:numPr>
        <w:numId w:val="0"/>
      </w:numPr>
      <w:spacing w:after="200"/>
      <w:ind w:left="1080" w:hanging="360"/>
    </w:pPr>
    <w:rPr>
      <w:szCs w:val="22"/>
    </w:rPr>
  </w:style>
  <w:style w:type="paragraph" w:styleId="Aufzhlungszeichen">
    <w:name w:val="List Bullet"/>
    <w:basedOn w:val="Standard"/>
    <w:uiPriority w:val="99"/>
    <w:unhideWhenUsed/>
    <w:rsid w:val="00544905"/>
    <w:pPr>
      <w:numPr>
        <w:numId w:val="15"/>
      </w:numPr>
      <w:contextualSpacing/>
    </w:pPr>
  </w:style>
  <w:style w:type="character" w:styleId="BulletPointChar" w:customStyle="1">
    <w:name w:val="Bullet Point Char"/>
    <w:basedOn w:val="Absatz-Standardschriftart"/>
    <w:link w:val="BulletPoint"/>
    <w:rsid w:val="0035143F"/>
    <w:rPr>
      <w:rFonts w:ascii="Arial" w:hAnsi="Arial" w:eastAsiaTheme="minorEastAsia"/>
      <w:sz w:val="20"/>
    </w:rPr>
  </w:style>
  <w:style w:type="paragraph" w:styleId="Beschriftung">
    <w:name w:val="caption"/>
    <w:basedOn w:val="Standard"/>
    <w:next w:val="Standard"/>
    <w:unhideWhenUsed/>
    <w:qFormat/>
    <w:rsid w:val="00544905"/>
    <w:pPr>
      <w:jc w:val="center"/>
    </w:pPr>
    <w:rPr>
      <w:bCs/>
      <w:i/>
      <w:color w:val="5F5F5F" w:themeColor="text2"/>
      <w:sz w:val="16"/>
    </w:rPr>
  </w:style>
  <w:style w:type="paragraph" w:styleId="Titel">
    <w:name w:val="Title"/>
    <w:basedOn w:val="Standard"/>
    <w:next w:val="Standard"/>
    <w:link w:val="TitelZchn"/>
    <w:autoRedefine/>
    <w:uiPriority w:val="10"/>
    <w:qFormat/>
    <w:rsid w:val="00712187"/>
    <w:pPr>
      <w:spacing w:before="2268" w:after="300"/>
      <w:contextualSpacing/>
      <w:jc w:val="center"/>
    </w:pPr>
    <w:rPr>
      <w:rFonts w:eastAsiaTheme="majorEastAsia" w:cstheme="majorBidi"/>
      <w:color w:val="0100FE"/>
      <w:spacing w:val="5"/>
      <w:kern w:val="28"/>
      <w:sz w:val="56"/>
      <w:szCs w:val="52"/>
      <w:lang w:val="en-GB"/>
    </w:rPr>
  </w:style>
  <w:style w:type="character" w:styleId="TitelZchn" w:customStyle="1">
    <w:name w:val="Titel Zchn"/>
    <w:basedOn w:val="Absatz-Standardschriftart"/>
    <w:link w:val="Titel"/>
    <w:uiPriority w:val="10"/>
    <w:rsid w:val="00712187"/>
    <w:rPr>
      <w:rFonts w:ascii="Arial" w:hAnsi="Arial" w:eastAsiaTheme="majorEastAsia" w:cstheme="majorBidi"/>
      <w:color w:val="0100FE"/>
      <w:spacing w:val="5"/>
      <w:kern w:val="28"/>
      <w:sz w:val="56"/>
      <w:szCs w:val="52"/>
      <w:lang w:val="en-GB"/>
    </w:rPr>
  </w:style>
  <w:style w:type="paragraph" w:styleId="Listenabsatz">
    <w:name w:val="List Paragraph"/>
    <w:aliases w:val="F List Paragraph,Normal bold,N Heading 3,H3,Use Case List Paragraph,Ref,Equipment,EG Bullet 1,Bullet List Paragraph,List Paragraph1,Bullet Normal,List Paragraph11,List Paragraph111,FooterText,numbered,lp1,Listenabsatz1"/>
    <w:basedOn w:val="Standard"/>
    <w:link w:val="ListenabsatzZchn"/>
    <w:uiPriority w:val="34"/>
    <w:qFormat/>
    <w:rsid w:val="00544905"/>
    <w:pPr>
      <w:numPr>
        <w:numId w:val="18"/>
      </w:numPr>
      <w:contextualSpacing/>
    </w:pPr>
    <w:rPr>
      <w:rFonts w:cs="Arial"/>
      <w:bCs/>
      <w:szCs w:val="22"/>
      <w:lang w:val="en-GB"/>
    </w:rPr>
  </w:style>
  <w:style w:type="character" w:styleId="ListenabsatzZchn" w:customStyle="1">
    <w:name w:val="Listenabsatz Zchn"/>
    <w:aliases w:val="F List Paragraph Zchn,Normal bold Zchn,N Heading 3 Zchn,H3 Zchn,Use Case List Paragraph Zchn,Ref Zchn,Equipment Zchn,EG Bullet 1 Zchn,Bullet List Paragraph Zchn,List Paragraph1 Zchn,Bullet Normal Zchn,List Paragraph11 Zchn,lp1 Zchn"/>
    <w:basedOn w:val="Absatz-Standardschriftart"/>
    <w:link w:val="Listenabsatz"/>
    <w:uiPriority w:val="34"/>
    <w:qFormat/>
    <w:locked/>
    <w:rsid w:val="00544905"/>
    <w:rPr>
      <w:rFonts w:ascii="Arial" w:hAnsi="Arial" w:cs="Arial" w:eastAsiaTheme="minorEastAsia"/>
      <w:bCs/>
      <w:sz w:val="20"/>
      <w:lang w:val="en-GB"/>
    </w:rPr>
  </w:style>
  <w:style w:type="paragraph" w:styleId="Numbering" w:customStyle="1">
    <w:name w:val="Numbering"/>
    <w:basedOn w:val="Standard"/>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Funotentext">
    <w:name w:val="footnote text"/>
    <w:basedOn w:val="Standard"/>
    <w:link w:val="FunotentextZchn"/>
    <w:autoRedefine/>
    <w:rsid w:val="00544905"/>
    <w:rPr>
      <w:lang w:val="en-GB"/>
    </w:rPr>
  </w:style>
  <w:style w:type="character" w:styleId="FunotentextZchn" w:customStyle="1">
    <w:name w:val="Fußnotentext Zchn"/>
    <w:basedOn w:val="Absatz-Standardschriftart"/>
    <w:link w:val="Funotentext"/>
    <w:rsid w:val="00544905"/>
    <w:rPr>
      <w:rFonts w:ascii="Arial" w:hAnsi="Arial" w:eastAsiaTheme="minorEastAsia"/>
      <w:sz w:val="20"/>
      <w:szCs w:val="20"/>
      <w:lang w:val="en-GB"/>
    </w:rPr>
  </w:style>
  <w:style w:type="paragraph" w:styleId="Untertitel">
    <w:name w:val="Subtitle"/>
    <w:basedOn w:val="Standard"/>
    <w:next w:val="Standard"/>
    <w:link w:val="UntertitelZchn"/>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UntertitelZchn" w:customStyle="1">
    <w:name w:val="Untertitel Zchn"/>
    <w:basedOn w:val="Absatz-Standardschriftart"/>
    <w:link w:val="Untertitel"/>
    <w:uiPriority w:val="11"/>
    <w:rsid w:val="002B27D1"/>
    <w:rPr>
      <w:rFonts w:asciiTheme="majorHAnsi" w:hAnsiTheme="majorHAnsi" w:eastAsiaTheme="majorEastAsia" w:cstheme="majorBidi"/>
      <w:i/>
      <w:iCs/>
      <w:color w:val="3366FF"/>
      <w:spacing w:val="15"/>
      <w:sz w:val="24"/>
      <w:szCs w:val="20"/>
    </w:rPr>
  </w:style>
  <w:style w:type="paragraph" w:styleId="Zitat">
    <w:name w:val="Quote"/>
    <w:basedOn w:val="Standard"/>
    <w:next w:val="Standard"/>
    <w:link w:val="ZitatZchn"/>
    <w:uiPriority w:val="29"/>
    <w:qFormat/>
    <w:rsid w:val="00544905"/>
    <w:pPr>
      <w:spacing w:after="200"/>
    </w:pPr>
    <w:rPr>
      <w:i/>
      <w:iCs/>
      <w:color w:val="000000" w:themeColor="text1"/>
      <w:szCs w:val="22"/>
      <w:lang w:eastAsia="ja-JP"/>
    </w:rPr>
  </w:style>
  <w:style w:type="character" w:styleId="ZitatZchn" w:customStyle="1">
    <w:name w:val="Zitat Zchn"/>
    <w:basedOn w:val="Absatz-Standardschriftart"/>
    <w:link w:val="Zitat"/>
    <w:uiPriority w:val="29"/>
    <w:rsid w:val="00544905"/>
    <w:rPr>
      <w:rFonts w:ascii="Arial" w:hAnsi="Arial" w:eastAsiaTheme="minorEastAsia"/>
      <w:i/>
      <w:iCs/>
      <w:color w:val="000000" w:themeColor="text1"/>
      <w:sz w:val="20"/>
      <w:lang w:eastAsia="ja-JP"/>
    </w:rPr>
  </w:style>
  <w:style w:type="character" w:styleId="Fett">
    <w:name w:val="Strong"/>
    <w:basedOn w:val="Absatz-Standardschriftart"/>
    <w:uiPriority w:val="22"/>
    <w:qFormat/>
    <w:rsid w:val="00544905"/>
    <w:rPr>
      <w:b/>
      <w:bCs/>
    </w:rPr>
  </w:style>
  <w:style w:type="character" w:styleId="Hervorhebung">
    <w:name w:val="Emphasis"/>
    <w:basedOn w:val="Absatz-Standardschriftart"/>
    <w:uiPriority w:val="20"/>
    <w:qFormat/>
    <w:rsid w:val="00544905"/>
    <w:rPr>
      <w:i/>
      <w:iCs/>
    </w:rPr>
  </w:style>
  <w:style w:type="paragraph" w:styleId="KeinLeerraum">
    <w:name w:val="No Spacing"/>
    <w:link w:val="KeinLeerraumZchn"/>
    <w:uiPriority w:val="1"/>
    <w:qFormat/>
    <w:rsid w:val="00544905"/>
    <w:pPr>
      <w:spacing w:after="0" w:line="240" w:lineRule="auto"/>
      <w:jc w:val="both"/>
    </w:pPr>
    <w:rPr>
      <w:rFonts w:ascii="Arial" w:hAnsi="Arial"/>
      <w:szCs w:val="24"/>
      <w:lang w:eastAsia="en-GB"/>
    </w:rPr>
  </w:style>
  <w:style w:type="character" w:styleId="KeinLeerraumZchn" w:customStyle="1">
    <w:name w:val="Kein Leerraum Zchn"/>
    <w:basedOn w:val="Absatz-Standardschriftart"/>
    <w:link w:val="KeinLeerraum"/>
    <w:uiPriority w:val="1"/>
    <w:rsid w:val="00544905"/>
    <w:rPr>
      <w:rFonts w:ascii="Arial" w:hAnsi="Arial"/>
      <w:szCs w:val="24"/>
      <w:lang w:eastAsia="en-GB"/>
    </w:rPr>
  </w:style>
  <w:style w:type="character" w:styleId="SchwacheHervorhebung">
    <w:name w:val="Subtle Emphasis"/>
    <w:basedOn w:val="Absatz-Standardschriftart"/>
    <w:uiPriority w:val="19"/>
    <w:qFormat/>
    <w:rsid w:val="00544905"/>
    <w:rPr>
      <w:i/>
      <w:iCs/>
      <w:color w:val="808080" w:themeColor="text1" w:themeTint="7F"/>
    </w:rPr>
  </w:style>
  <w:style w:type="character" w:styleId="SchwacherVerweis">
    <w:name w:val="Subtle Reference"/>
    <w:basedOn w:val="Absatz-Standardschriftart"/>
    <w:uiPriority w:val="31"/>
    <w:qFormat/>
    <w:rsid w:val="00544905"/>
    <w:rPr>
      <w:smallCaps/>
      <w:color w:val="0078AA" w:themeColor="accent2"/>
      <w:u w:val="single"/>
    </w:rPr>
  </w:style>
  <w:style w:type="character" w:styleId="IntensiverVerweis">
    <w:name w:val="Intense Reference"/>
    <w:basedOn w:val="Absatz-Standardschriftart"/>
    <w:uiPriority w:val="32"/>
    <w:qFormat/>
    <w:rsid w:val="00544905"/>
    <w:rPr>
      <w:b/>
      <w:bCs/>
      <w:smallCaps/>
      <w:color w:val="0078AA" w:themeColor="accent2"/>
      <w:spacing w:val="5"/>
      <w:u w:val="single"/>
    </w:rPr>
  </w:style>
  <w:style w:type="character" w:styleId="Buchtitel">
    <w:name w:val="Book Title"/>
    <w:basedOn w:val="Absatz-Standardschriftart"/>
    <w:uiPriority w:val="33"/>
    <w:qFormat/>
    <w:rsid w:val="00544905"/>
    <w:rPr>
      <w:b/>
      <w:bCs/>
      <w:smallCaps/>
      <w:spacing w:val="5"/>
    </w:rPr>
  </w:style>
  <w:style w:type="paragraph" w:styleId="Kopfzeile">
    <w:name w:val="header"/>
    <w:basedOn w:val="Standard"/>
    <w:link w:val="KopfzeileZchn"/>
    <w:uiPriority w:val="99"/>
    <w:unhideWhenUsed/>
    <w:qFormat/>
    <w:rsid w:val="00544905"/>
    <w:pPr>
      <w:tabs>
        <w:tab w:val="center" w:pos="4680"/>
      </w:tabs>
      <w:spacing w:line="240" w:lineRule="auto"/>
      <w:ind w:right="-58"/>
      <w:jc w:val="right"/>
    </w:pPr>
    <w:rPr>
      <w:color w:val="5F5F5F" w:themeColor="text2"/>
      <w:lang w:val="en-GB"/>
    </w:rPr>
  </w:style>
  <w:style w:type="character" w:styleId="KopfzeileZchn" w:customStyle="1">
    <w:name w:val="Kopfzeile Zchn"/>
    <w:basedOn w:val="Absatz-Standardschriftart"/>
    <w:link w:val="Kopfzeile"/>
    <w:uiPriority w:val="99"/>
    <w:rsid w:val="00544905"/>
    <w:rPr>
      <w:rFonts w:ascii="Arial" w:hAnsi="Arial" w:eastAsiaTheme="minorEastAsia"/>
      <w:color w:val="5F5F5F" w:themeColor="text2"/>
      <w:sz w:val="20"/>
      <w:szCs w:val="20"/>
      <w:lang w:val="en-GB"/>
    </w:rPr>
  </w:style>
  <w:style w:type="paragraph" w:styleId="Fuzeile">
    <w:name w:val="footer"/>
    <w:basedOn w:val="Standard"/>
    <w:link w:val="FuzeileZchn"/>
    <w:uiPriority w:val="99"/>
    <w:unhideWhenUsed/>
    <w:qFormat/>
    <w:rsid w:val="00544905"/>
    <w:pPr>
      <w:tabs>
        <w:tab w:val="center" w:pos="4680"/>
      </w:tabs>
      <w:spacing w:line="240" w:lineRule="auto"/>
      <w:ind w:right="-58"/>
      <w:jc w:val="right"/>
    </w:pPr>
    <w:rPr>
      <w:color w:val="5F5F5F" w:themeColor="text2"/>
      <w:lang w:val="en-GB"/>
    </w:rPr>
  </w:style>
  <w:style w:type="character" w:styleId="FuzeileZchn" w:customStyle="1">
    <w:name w:val="Fußzeile Zchn"/>
    <w:basedOn w:val="Absatz-Standardschriftart"/>
    <w:link w:val="Fuzeile"/>
    <w:uiPriority w:val="99"/>
    <w:rsid w:val="00544905"/>
    <w:rPr>
      <w:rFonts w:ascii="Arial" w:hAnsi="Arial" w:eastAsiaTheme="minorEastAsia"/>
      <w:color w:val="5F5F5F" w:themeColor="text2"/>
      <w:sz w:val="20"/>
      <w:szCs w:val="20"/>
      <w:lang w:val="en-GB"/>
    </w:rPr>
  </w:style>
  <w:style w:type="paragraph" w:styleId="Verzeichnis1">
    <w:name w:val="toc 1"/>
    <w:basedOn w:val="Standard"/>
    <w:next w:val="Standard"/>
    <w:autoRedefine/>
    <w:uiPriority w:val="39"/>
    <w:unhideWhenUsed/>
    <w:rsid w:val="00544905"/>
    <w:pPr>
      <w:spacing w:before="120"/>
      <w:jc w:val="left"/>
    </w:pPr>
    <w:rPr>
      <w:rFonts w:asciiTheme="minorHAnsi" w:hAnsiTheme="minorHAnsi" w:cstheme="minorHAnsi"/>
      <w:b/>
      <w:bCs/>
      <w:i/>
      <w:iCs/>
      <w:sz w:val="24"/>
      <w:szCs w:val="24"/>
    </w:rPr>
  </w:style>
  <w:style w:type="paragraph" w:styleId="Verzeichnis2">
    <w:name w:val="toc 2"/>
    <w:basedOn w:val="Standard"/>
    <w:next w:val="Standard"/>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Absatz-Standardschriftart"/>
    <w:uiPriority w:val="99"/>
    <w:unhideWhenUsed/>
    <w:rsid w:val="00544905"/>
    <w:rPr>
      <w:color w:val="3F3F3F" w:themeColor="hyperlink"/>
      <w:u w:val="single"/>
    </w:rPr>
  </w:style>
  <w:style w:type="paragraph" w:styleId="Sprechblasentext">
    <w:name w:val="Balloon Text"/>
    <w:basedOn w:val="Standard"/>
    <w:link w:val="SprechblasentextZchn"/>
    <w:uiPriority w:val="99"/>
    <w:semiHidden/>
    <w:unhideWhenUsed/>
    <w:rsid w:val="00544905"/>
    <w:pPr>
      <w:spacing w:line="240" w:lineRule="auto"/>
    </w:pPr>
    <w:rPr>
      <w:rFonts w:ascii="Tahoma" w:hAnsi="Tahoma" w:cs="Tahoma"/>
      <w:sz w:val="16"/>
      <w:szCs w:val="16"/>
    </w:rPr>
  </w:style>
  <w:style w:type="character" w:styleId="SprechblasentextZchn" w:customStyle="1">
    <w:name w:val="Sprechblasentext Zchn"/>
    <w:basedOn w:val="Absatz-Standardschriftart"/>
    <w:link w:val="Sprechblasentext"/>
    <w:uiPriority w:val="99"/>
    <w:semiHidden/>
    <w:rsid w:val="00544905"/>
    <w:rPr>
      <w:rFonts w:ascii="Tahoma" w:hAnsi="Tahoma" w:cs="Tahoma" w:eastAsiaTheme="minorEastAsia"/>
      <w:sz w:val="16"/>
      <w:szCs w:val="16"/>
    </w:rPr>
  </w:style>
  <w:style w:type="table" w:styleId="Tabellenraster">
    <w:name w:val="Table Grid"/>
    <w:basedOn w:val="NormaleTabelle"/>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Kommentarzeichen">
    <w:name w:val="annotation reference"/>
    <w:basedOn w:val="Absatz-Standardschriftart"/>
    <w:uiPriority w:val="99"/>
    <w:semiHidden/>
    <w:unhideWhenUsed/>
    <w:rsid w:val="00544905"/>
    <w:rPr>
      <w:sz w:val="16"/>
      <w:szCs w:val="16"/>
    </w:rPr>
  </w:style>
  <w:style w:type="paragraph" w:styleId="Kommentartext">
    <w:name w:val="annotation text"/>
    <w:basedOn w:val="Standard"/>
    <w:link w:val="KommentartextZchn"/>
    <w:uiPriority w:val="99"/>
    <w:unhideWhenUsed/>
    <w:rsid w:val="00544905"/>
    <w:pPr>
      <w:spacing w:line="240" w:lineRule="auto"/>
    </w:pPr>
  </w:style>
  <w:style w:type="character" w:styleId="KommentartextZchn" w:customStyle="1">
    <w:name w:val="Kommentartext Zchn"/>
    <w:basedOn w:val="Absatz-Standardschriftart"/>
    <w:link w:val="Kommentartext"/>
    <w:uiPriority w:val="99"/>
    <w:rsid w:val="00544905"/>
    <w:rPr>
      <w:rFonts w:ascii="Arial" w:hAnsi="Arial" w:eastAsiaTheme="minorEastAsia"/>
      <w:sz w:val="20"/>
      <w:szCs w:val="20"/>
    </w:rPr>
  </w:style>
  <w:style w:type="paragraph" w:styleId="Kommentarthema">
    <w:name w:val="annotation subject"/>
    <w:basedOn w:val="Kommentartext"/>
    <w:next w:val="Kommentartext"/>
    <w:link w:val="KommentarthemaZchn"/>
    <w:uiPriority w:val="99"/>
    <w:semiHidden/>
    <w:unhideWhenUsed/>
    <w:rsid w:val="00544905"/>
    <w:rPr>
      <w:b/>
      <w:bCs/>
    </w:rPr>
  </w:style>
  <w:style w:type="character" w:styleId="KommentarthemaZchn" w:customStyle="1">
    <w:name w:val="Kommentarthema Zchn"/>
    <w:basedOn w:val="KommentartextZchn"/>
    <w:link w:val="Kommentarthema"/>
    <w:uiPriority w:val="99"/>
    <w:semiHidden/>
    <w:rsid w:val="00544905"/>
    <w:rPr>
      <w:rFonts w:ascii="Arial" w:hAnsi="Arial" w:eastAsiaTheme="minorEastAsia"/>
      <w:b/>
      <w:bCs/>
      <w:sz w:val="20"/>
      <w:szCs w:val="20"/>
    </w:rPr>
  </w:style>
  <w:style w:type="paragraph" w:styleId="Verzeichnis3">
    <w:name w:val="toc 3"/>
    <w:basedOn w:val="Standard"/>
    <w:next w:val="Standard"/>
    <w:autoRedefine/>
    <w:uiPriority w:val="39"/>
    <w:unhideWhenUsed/>
    <w:rsid w:val="00FD7638"/>
    <w:pPr>
      <w:ind w:left="400"/>
      <w:jc w:val="left"/>
    </w:pPr>
    <w:rPr>
      <w:rFonts w:asciiTheme="minorHAnsi" w:hAnsiTheme="minorHAnsi" w:cstheme="minorHAnsi"/>
    </w:rPr>
  </w:style>
  <w:style w:type="paragraph" w:styleId="berarbeitung">
    <w:name w:val="Revision"/>
    <w:hidden/>
    <w:uiPriority w:val="99"/>
    <w:semiHidden/>
    <w:rsid w:val="0087361D"/>
    <w:pPr>
      <w:spacing w:after="0" w:line="240" w:lineRule="auto"/>
    </w:pPr>
    <w:rPr>
      <w:rFonts w:eastAsiaTheme="minorEastAsia"/>
      <w:sz w:val="20"/>
      <w:szCs w:val="20"/>
    </w:rPr>
  </w:style>
  <w:style w:type="character" w:styleId="Seitenzahl">
    <w:name w:val="page number"/>
    <w:basedOn w:val="Absatz-Standardschriftart"/>
    <w:uiPriority w:val="99"/>
    <w:semiHidden/>
    <w:unhideWhenUsed/>
    <w:rsid w:val="00544905"/>
  </w:style>
  <w:style w:type="paragraph" w:styleId="Dokumentstruktur">
    <w:name w:val="Document Map"/>
    <w:basedOn w:val="Standard"/>
    <w:link w:val="DokumentstrukturZchn"/>
    <w:uiPriority w:val="99"/>
    <w:semiHidden/>
    <w:unhideWhenUsed/>
    <w:rsid w:val="00544905"/>
    <w:pPr>
      <w:spacing w:line="240" w:lineRule="auto"/>
    </w:pPr>
    <w:rPr>
      <w:rFonts w:ascii="Times New Roman" w:hAnsi="Times New Roman" w:cs="Times New Roman"/>
      <w:sz w:val="24"/>
      <w:szCs w:val="24"/>
    </w:rPr>
  </w:style>
  <w:style w:type="character" w:styleId="DokumentstrukturZchn" w:customStyle="1">
    <w:name w:val="Dokumentstruktur Zchn"/>
    <w:basedOn w:val="Absatz-Standardschriftart"/>
    <w:link w:val="Dokumentstruktur"/>
    <w:uiPriority w:val="99"/>
    <w:semiHidden/>
    <w:rsid w:val="00544905"/>
    <w:rPr>
      <w:rFonts w:ascii="Times New Roman" w:hAnsi="Times New Roman" w:cs="Times New Roman" w:eastAsiaTheme="minorEastAsia"/>
      <w:sz w:val="24"/>
      <w:szCs w:val="24"/>
    </w:rPr>
  </w:style>
  <w:style w:type="paragraph" w:styleId="Verzeichnis4">
    <w:name w:val="toc 4"/>
    <w:basedOn w:val="Standard"/>
    <w:next w:val="Standard"/>
    <w:autoRedefine/>
    <w:uiPriority w:val="39"/>
    <w:unhideWhenUsed/>
    <w:rsid w:val="00544905"/>
    <w:pPr>
      <w:ind w:left="600"/>
      <w:jc w:val="left"/>
    </w:pPr>
    <w:rPr>
      <w:rFonts w:asciiTheme="minorHAnsi" w:hAnsiTheme="minorHAnsi" w:cstheme="minorHAnsi"/>
    </w:rPr>
  </w:style>
  <w:style w:type="paragraph" w:styleId="Verzeichnis5">
    <w:name w:val="toc 5"/>
    <w:basedOn w:val="Standard"/>
    <w:next w:val="Standard"/>
    <w:autoRedefine/>
    <w:uiPriority w:val="39"/>
    <w:unhideWhenUsed/>
    <w:rsid w:val="00544905"/>
    <w:pPr>
      <w:ind w:left="800"/>
      <w:jc w:val="left"/>
    </w:pPr>
    <w:rPr>
      <w:rFonts w:asciiTheme="minorHAnsi" w:hAnsiTheme="minorHAnsi" w:cstheme="minorHAnsi"/>
    </w:rPr>
  </w:style>
  <w:style w:type="paragraph" w:styleId="Verzeichnis6">
    <w:name w:val="toc 6"/>
    <w:basedOn w:val="Standard"/>
    <w:next w:val="Standard"/>
    <w:autoRedefine/>
    <w:uiPriority w:val="39"/>
    <w:unhideWhenUsed/>
    <w:rsid w:val="00544905"/>
    <w:pPr>
      <w:ind w:left="1000"/>
      <w:jc w:val="left"/>
    </w:pPr>
    <w:rPr>
      <w:rFonts w:asciiTheme="minorHAnsi" w:hAnsiTheme="minorHAnsi" w:cstheme="minorHAnsi"/>
    </w:rPr>
  </w:style>
  <w:style w:type="paragraph" w:styleId="Verzeichnis7">
    <w:name w:val="toc 7"/>
    <w:basedOn w:val="Standard"/>
    <w:next w:val="Standard"/>
    <w:autoRedefine/>
    <w:uiPriority w:val="39"/>
    <w:unhideWhenUsed/>
    <w:rsid w:val="00544905"/>
    <w:pPr>
      <w:ind w:left="1200"/>
      <w:jc w:val="left"/>
    </w:pPr>
    <w:rPr>
      <w:rFonts w:asciiTheme="minorHAnsi" w:hAnsiTheme="minorHAnsi" w:cstheme="minorHAnsi"/>
    </w:rPr>
  </w:style>
  <w:style w:type="paragraph" w:styleId="Verzeichnis8">
    <w:name w:val="toc 8"/>
    <w:basedOn w:val="Standard"/>
    <w:next w:val="Standard"/>
    <w:autoRedefine/>
    <w:uiPriority w:val="39"/>
    <w:unhideWhenUsed/>
    <w:rsid w:val="00544905"/>
    <w:pPr>
      <w:ind w:left="1400"/>
      <w:jc w:val="left"/>
    </w:pPr>
    <w:rPr>
      <w:rFonts w:asciiTheme="minorHAnsi" w:hAnsiTheme="minorHAnsi" w:cstheme="minorHAnsi"/>
    </w:rPr>
  </w:style>
  <w:style w:type="paragraph" w:styleId="Verzeichnis9">
    <w:name w:val="toc 9"/>
    <w:basedOn w:val="Standard"/>
    <w:next w:val="Standard"/>
    <w:autoRedefine/>
    <w:uiPriority w:val="39"/>
    <w:unhideWhenUsed/>
    <w:rsid w:val="00544905"/>
    <w:pPr>
      <w:ind w:left="1600"/>
      <w:jc w:val="left"/>
    </w:pPr>
    <w:rPr>
      <w:rFonts w:asciiTheme="minorHAnsi" w:hAnsiTheme="minorHAnsi" w:cstheme="minorHAnsi"/>
    </w:rPr>
  </w:style>
  <w:style w:type="character" w:styleId="BesuchterLink">
    <w:name w:val="FollowedHyperlink"/>
    <w:basedOn w:val="Absatz-Standardschriftart"/>
    <w:uiPriority w:val="99"/>
    <w:semiHidden/>
    <w:unhideWhenUsed/>
    <w:rsid w:val="00544905"/>
    <w:rPr>
      <w:color w:val="A5A5A5" w:themeColor="followedHyperlink"/>
      <w:u w:val="single"/>
    </w:rPr>
  </w:style>
  <w:style w:type="paragraph" w:styleId="StandardWeb">
    <w:name w:val="Normal (Web)"/>
    <w:basedOn w:val="Standard"/>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NormaleTabelle"/>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Absatz-Standardschriftart"/>
    <w:uiPriority w:val="99"/>
    <w:semiHidden/>
    <w:unhideWhenUsed/>
    <w:rsid w:val="00B917C5"/>
    <w:rPr>
      <w:color w:val="808080"/>
      <w:shd w:val="clear" w:color="auto" w:fill="E6E6E6"/>
    </w:rPr>
  </w:style>
  <w:style w:type="table" w:styleId="GridTable41" w:customStyle="1">
    <w:name w:val="Grid Table 41"/>
    <w:basedOn w:val="NormaleTabelle"/>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Absatz-Standardschriftart"/>
    <w:uiPriority w:val="99"/>
    <w:rsid w:val="00544905"/>
    <w:rPr>
      <w:rFonts w:cs="Times New Roman"/>
    </w:rPr>
  </w:style>
  <w:style w:type="paragraph" w:styleId="BalloonText1" w:customStyle="1">
    <w:name w:val="Balloon Text1"/>
    <w:basedOn w:val="Standard"/>
    <w:uiPriority w:val="99"/>
    <w:semiHidden/>
    <w:rsid w:val="00544905"/>
    <w:rPr>
      <w:rFonts w:ascii="Tahoma" w:hAnsi="Tahoma" w:cs="Tahoma"/>
      <w:sz w:val="16"/>
      <w:szCs w:val="16"/>
    </w:rPr>
  </w:style>
  <w:style w:type="paragraph" w:styleId="BalloonText2" w:customStyle="1">
    <w:name w:val="Balloon Text2"/>
    <w:basedOn w:val="Standard"/>
    <w:uiPriority w:val="99"/>
    <w:semiHidden/>
    <w:rsid w:val="00544905"/>
    <w:rPr>
      <w:rFonts w:ascii="Tahoma" w:hAnsi="Tahoma" w:cs="Tahoma"/>
      <w:sz w:val="16"/>
      <w:szCs w:val="16"/>
    </w:rPr>
  </w:style>
  <w:style w:type="paragraph" w:styleId="BalloonText3" w:customStyle="1">
    <w:name w:val="Balloon Text3"/>
    <w:basedOn w:val="Standard"/>
    <w:uiPriority w:val="99"/>
    <w:semiHidden/>
    <w:rsid w:val="00544905"/>
    <w:rPr>
      <w:rFonts w:ascii="Tahoma" w:hAnsi="Tahoma" w:cs="Tahoma"/>
      <w:sz w:val="16"/>
      <w:szCs w:val="16"/>
    </w:rPr>
  </w:style>
  <w:style w:type="paragraph" w:styleId="Blocktext">
    <w:name w:val="Block Text"/>
    <w:basedOn w:val="Standard"/>
    <w:uiPriority w:val="99"/>
    <w:rsid w:val="00544905"/>
    <w:pPr>
      <w:ind w:left="266" w:right="425"/>
    </w:pPr>
    <w:rPr>
      <w:i/>
      <w:iCs/>
      <w:color w:val="000000"/>
      <w:lang w:val="en-GB"/>
    </w:rPr>
  </w:style>
  <w:style w:type="paragraph" w:styleId="Textkrper">
    <w:name w:val="Body Text"/>
    <w:basedOn w:val="Standard"/>
    <w:link w:val="TextkrperZchn"/>
    <w:uiPriority w:val="99"/>
    <w:rsid w:val="00544905"/>
  </w:style>
  <w:style w:type="character" w:styleId="TextkrperZchn" w:customStyle="1">
    <w:name w:val="Textkörper Zchn"/>
    <w:basedOn w:val="Absatz-Standardschriftart"/>
    <w:link w:val="Textkrper"/>
    <w:uiPriority w:val="99"/>
    <w:rsid w:val="00544905"/>
    <w:rPr>
      <w:rFonts w:ascii="Arial" w:hAnsi="Arial" w:eastAsiaTheme="minorEastAsia"/>
      <w:sz w:val="20"/>
      <w:szCs w:val="20"/>
    </w:rPr>
  </w:style>
  <w:style w:type="paragraph" w:styleId="Textkrper2">
    <w:name w:val="Body Text 2"/>
    <w:basedOn w:val="Standard"/>
    <w:link w:val="Textkrper2Zchn"/>
    <w:uiPriority w:val="99"/>
    <w:rsid w:val="00544905"/>
  </w:style>
  <w:style w:type="character" w:styleId="Textkrper2Zchn" w:customStyle="1">
    <w:name w:val="Textkörper 2 Zchn"/>
    <w:basedOn w:val="Absatz-Standardschriftart"/>
    <w:link w:val="Textkrper2"/>
    <w:uiPriority w:val="99"/>
    <w:rsid w:val="00544905"/>
    <w:rPr>
      <w:rFonts w:ascii="Arial" w:hAnsi="Arial" w:eastAsiaTheme="minorEastAsia"/>
      <w:sz w:val="20"/>
      <w:szCs w:val="20"/>
    </w:rPr>
  </w:style>
  <w:style w:type="paragraph" w:styleId="Textkrper3">
    <w:name w:val="Body Text 3"/>
    <w:basedOn w:val="Standard"/>
    <w:link w:val="Textkrper3Zchn"/>
    <w:uiPriority w:val="99"/>
    <w:rsid w:val="00544905"/>
    <w:pPr>
      <w:jc w:val="center"/>
    </w:pPr>
    <w:rPr>
      <w:sz w:val="16"/>
      <w:szCs w:val="16"/>
    </w:rPr>
  </w:style>
  <w:style w:type="character" w:styleId="Textkrper3Zchn" w:customStyle="1">
    <w:name w:val="Textkörper 3 Zchn"/>
    <w:basedOn w:val="Absatz-Standardschriftart"/>
    <w:link w:val="Textkrper3"/>
    <w:uiPriority w:val="99"/>
    <w:rsid w:val="00544905"/>
    <w:rPr>
      <w:rFonts w:ascii="Arial" w:hAnsi="Arial" w:eastAsiaTheme="minorEastAsia"/>
      <w:sz w:val="16"/>
      <w:szCs w:val="16"/>
    </w:rPr>
  </w:style>
  <w:style w:type="paragraph" w:styleId="Textkrper-Zeileneinzug">
    <w:name w:val="Body Text Indent"/>
    <w:basedOn w:val="Standard"/>
    <w:link w:val="Textkrper-ZeileneinzugZchn"/>
    <w:uiPriority w:val="99"/>
    <w:rsid w:val="00544905"/>
    <w:pPr>
      <w:spacing w:before="120"/>
      <w:ind w:left="1440"/>
      <w:outlineLvl w:val="0"/>
    </w:pPr>
  </w:style>
  <w:style w:type="character" w:styleId="Textkrper-ZeileneinzugZchn" w:customStyle="1">
    <w:name w:val="Textkörper-Zeileneinzug Zchn"/>
    <w:basedOn w:val="Absatz-Standardschriftart"/>
    <w:link w:val="Textkrper-Zeileneinzug"/>
    <w:uiPriority w:val="99"/>
    <w:rsid w:val="00544905"/>
    <w:rPr>
      <w:rFonts w:ascii="Arial" w:hAnsi="Arial" w:eastAsiaTheme="minorEastAsia"/>
      <w:sz w:val="20"/>
      <w:szCs w:val="20"/>
    </w:rPr>
  </w:style>
  <w:style w:type="paragraph" w:styleId="Textkrper-Einzug2">
    <w:name w:val="Body Text Indent 2"/>
    <w:basedOn w:val="Standard"/>
    <w:link w:val="Textkrper-Einzug2Zchn"/>
    <w:uiPriority w:val="99"/>
    <w:rsid w:val="00544905"/>
    <w:pPr>
      <w:spacing w:before="120"/>
      <w:ind w:left="1440"/>
      <w:outlineLvl w:val="0"/>
    </w:pPr>
  </w:style>
  <w:style w:type="character" w:styleId="Textkrper-Einzug2Zchn" w:customStyle="1">
    <w:name w:val="Textkörper-Einzug 2 Zchn"/>
    <w:basedOn w:val="Absatz-Standardschriftart"/>
    <w:link w:val="Textkrper-Einzug2"/>
    <w:uiPriority w:val="99"/>
    <w:rsid w:val="00544905"/>
    <w:rPr>
      <w:rFonts w:ascii="Arial" w:hAnsi="Arial" w:eastAsiaTheme="minorEastAsia"/>
      <w:sz w:val="20"/>
      <w:szCs w:val="20"/>
    </w:rPr>
  </w:style>
  <w:style w:type="paragraph" w:styleId="Textkrper-Einzug3">
    <w:name w:val="Body Text Indent 3"/>
    <w:basedOn w:val="Standard"/>
    <w:link w:val="Textkrper-Einzug3Zchn"/>
    <w:uiPriority w:val="99"/>
    <w:rsid w:val="00544905"/>
    <w:pPr>
      <w:spacing w:before="120"/>
      <w:ind w:left="1440"/>
      <w:outlineLvl w:val="0"/>
    </w:pPr>
    <w:rPr>
      <w:sz w:val="16"/>
      <w:szCs w:val="16"/>
    </w:rPr>
  </w:style>
  <w:style w:type="character" w:styleId="Textkrper-Einzug3Zchn" w:customStyle="1">
    <w:name w:val="Textkörper-Einzug 3 Zchn"/>
    <w:basedOn w:val="Absatz-Standardschriftart"/>
    <w:link w:val="Textkrper-Einzug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Kommentartext"/>
    <w:next w:val="Kommentartext"/>
    <w:uiPriority w:val="99"/>
    <w:semiHidden/>
    <w:rsid w:val="00544905"/>
    <w:rPr>
      <w:b/>
      <w:bCs/>
    </w:rPr>
  </w:style>
  <w:style w:type="paragraph" w:styleId="CommentSubject2" w:customStyle="1">
    <w:name w:val="Comment Subject2"/>
    <w:basedOn w:val="Kommentartext"/>
    <w:next w:val="Kommentartext"/>
    <w:uiPriority w:val="99"/>
    <w:semiHidden/>
    <w:rsid w:val="00544905"/>
    <w:rPr>
      <w:b/>
      <w:bCs/>
    </w:rPr>
  </w:style>
  <w:style w:type="paragraph" w:styleId="CommentSubject3" w:customStyle="1">
    <w:name w:val="Comment Subject3"/>
    <w:basedOn w:val="Kommentartext"/>
    <w:next w:val="Kommentartext"/>
    <w:uiPriority w:val="99"/>
    <w:semiHidden/>
    <w:rsid w:val="00544905"/>
    <w:rPr>
      <w:b/>
      <w:bCs/>
    </w:rPr>
  </w:style>
  <w:style w:type="paragraph" w:styleId="CommentSubject4" w:customStyle="1">
    <w:name w:val="Comment Subject4"/>
    <w:basedOn w:val="Kommentartext"/>
    <w:next w:val="Kommentartext"/>
    <w:uiPriority w:val="99"/>
    <w:semiHidden/>
    <w:rsid w:val="00544905"/>
    <w:rPr>
      <w:b/>
      <w:bCs/>
    </w:rPr>
  </w:style>
  <w:style w:type="paragraph" w:styleId="CommentSubject5" w:customStyle="1">
    <w:name w:val="Comment Subject5"/>
    <w:basedOn w:val="Kommentartext"/>
    <w:next w:val="Kommentartext"/>
    <w:uiPriority w:val="99"/>
    <w:semiHidden/>
    <w:rsid w:val="00544905"/>
    <w:rPr>
      <w:b/>
      <w:bCs/>
    </w:rPr>
  </w:style>
  <w:style w:type="paragraph" w:styleId="Datum">
    <w:name w:val="Date"/>
    <w:basedOn w:val="Standard"/>
    <w:next w:val="Standard"/>
    <w:link w:val="DatumZchn"/>
    <w:uiPriority w:val="99"/>
    <w:unhideWhenUsed/>
    <w:rsid w:val="00544905"/>
  </w:style>
  <w:style w:type="character" w:styleId="DatumZchn" w:customStyle="1">
    <w:name w:val="Datum Zchn"/>
    <w:basedOn w:val="Absatz-Standardschriftart"/>
    <w:link w:val="Datum"/>
    <w:uiPriority w:val="99"/>
    <w:rsid w:val="00544905"/>
    <w:rPr>
      <w:rFonts w:ascii="Arial" w:hAnsi="Arial" w:eastAsiaTheme="minorEastAsia"/>
      <w:sz w:val="20"/>
      <w:szCs w:val="20"/>
    </w:rPr>
  </w:style>
  <w:style w:type="table" w:styleId="TableauGrille41" w:customStyle="1">
    <w:name w:val="Tableau Grille 41"/>
    <w:basedOn w:val="NormaleTabelle"/>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Standard"/>
    <w:link w:val="HelleListe-Akzent51Char"/>
    <w:uiPriority w:val="34"/>
    <w:qFormat/>
    <w:rsid w:val="00544905"/>
    <w:pPr>
      <w:numPr>
        <w:numId w:val="17"/>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Kommentartext"/>
    <w:next w:val="Kommentartext"/>
    <w:uiPriority w:val="99"/>
    <w:semiHidden/>
    <w:rsid w:val="00544905"/>
    <w:rPr>
      <w:b/>
      <w:bCs/>
    </w:rPr>
  </w:style>
  <w:style w:type="table" w:styleId="TableauListe1Clair1" w:customStyle="1">
    <w:name w:val="Tableau Liste 1 Clair1"/>
    <w:basedOn w:val="NormaleTabelle"/>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Standard"/>
    <w:uiPriority w:val="99"/>
    <w:rsid w:val="00544905"/>
    <w:pPr>
      <w:ind w:left="720"/>
    </w:pPr>
    <w:rPr>
      <w:rFonts w:ascii="Trebuchet MS" w:hAnsi="Trebuchet MS"/>
    </w:rPr>
  </w:style>
  <w:style w:type="paragraph" w:styleId="Sprechblasentext1" w:customStyle="1">
    <w:name w:val="Sprechblasentext1"/>
    <w:basedOn w:val="Standard"/>
    <w:uiPriority w:val="99"/>
    <w:semiHidden/>
    <w:rsid w:val="00544905"/>
    <w:rPr>
      <w:rFonts w:ascii="Tahoma" w:hAnsi="Tahoma" w:cs="Tahoma"/>
      <w:sz w:val="16"/>
      <w:szCs w:val="16"/>
    </w:rPr>
  </w:style>
  <w:style w:type="paragraph" w:styleId="Sprechblasentext2" w:customStyle="1">
    <w:name w:val="Sprechblasentext2"/>
    <w:basedOn w:val="Standard"/>
    <w:uiPriority w:val="99"/>
    <w:semiHidden/>
    <w:rsid w:val="00544905"/>
    <w:rPr>
      <w:rFonts w:ascii="Tahoma" w:hAnsi="Tahoma" w:cs="Tahoma"/>
      <w:sz w:val="16"/>
      <w:szCs w:val="16"/>
    </w:rPr>
  </w:style>
  <w:style w:type="table" w:styleId="TableGridLight1" w:customStyle="1">
    <w:name w:val="Table Grid Light1"/>
    <w:basedOn w:val="NormaleTabelle"/>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Standard"/>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Standard"/>
    <w:uiPriority w:val="99"/>
    <w:semiHidden/>
    <w:rsid w:val="00544905"/>
    <w:rPr>
      <w:rFonts w:ascii="Tahoma" w:hAnsi="Tahoma" w:cs="Tahoma"/>
      <w:sz w:val="16"/>
      <w:szCs w:val="16"/>
    </w:rPr>
  </w:style>
  <w:style w:type="paragraph" w:styleId="Textedebulles2" w:customStyle="1">
    <w:name w:val="Texte de bulles2"/>
    <w:basedOn w:val="Standard"/>
    <w:uiPriority w:val="99"/>
    <w:semiHidden/>
    <w:rsid w:val="00544905"/>
    <w:rPr>
      <w:rFonts w:ascii="Tahoma" w:hAnsi="Tahoma" w:cs="Tahoma"/>
      <w:sz w:val="16"/>
      <w:szCs w:val="16"/>
    </w:rPr>
  </w:style>
  <w:style w:type="character" w:styleId="UnresolvedMention2" w:customStyle="1">
    <w:name w:val="Unresolved Mention2"/>
    <w:basedOn w:val="Absatz-Standardschriftart"/>
    <w:uiPriority w:val="99"/>
    <w:semiHidden/>
    <w:unhideWhenUsed/>
    <w:rsid w:val="00544905"/>
    <w:rPr>
      <w:color w:val="808080"/>
      <w:shd w:val="clear" w:color="auto" w:fill="E6E6E6"/>
    </w:rPr>
  </w:style>
  <w:style w:type="table" w:styleId="TableauListe7Couleur1" w:customStyle="1">
    <w:name w:val="Tableau Liste 7 Couleur1"/>
    <w:basedOn w:val="NormaleTabelle"/>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Standard"/>
    <w:rsid w:val="00167F46"/>
    <w:pPr>
      <w:spacing w:before="60" w:after="240"/>
    </w:pPr>
    <w:rPr>
      <w:rFonts w:ascii="Verdana" w:hAnsi="Verdana" w:eastAsia="Times New Roman" w:cs="Calibri"/>
      <w:b/>
      <w:bCs/>
      <w:color w:val="57585A"/>
      <w:sz w:val="22"/>
      <w:lang w:val="en-GB"/>
    </w:rPr>
  </w:style>
  <w:style w:type="character" w:styleId="Funotenzeichen">
    <w:name w:val="footnote reference"/>
    <w:basedOn w:val="Absatz-Standardschriftart"/>
    <w:uiPriority w:val="99"/>
    <w:semiHidden/>
    <w:unhideWhenUsed/>
    <w:rsid w:val="00A803A7"/>
    <w:rPr>
      <w:vertAlign w:val="superscript"/>
    </w:rPr>
  </w:style>
  <w:style w:type="paragraph" w:styleId="Inhaltsverzeichnisberschrift">
    <w:name w:val="TOC Heading"/>
    <w:basedOn w:val="berschrift1"/>
    <w:next w:val="Standard"/>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image" Target="/media/image3.png" Id="R0cc0ae57bb5741e5" /></Relationships>
</file>

<file path=word/_rels/footnotes.xml.rels><?xml version="1.0" encoding="UTF-8" standalone="yes"?>
<Relationships xmlns="http://schemas.openxmlformats.org/package/2006/relationships"><Relationship Id="rId3" Type="http://schemas.openxmlformats.org/officeDocument/2006/relationships/hyperlink" Target="https://www.netzentwicklungsplan.de/en/front" TargetMode="External"/><Relationship Id="rId2" Type="http://schemas.openxmlformats.org/officeDocument/2006/relationships/hyperlink" Target="https://www.bmwk.de/Redaktion/EN/Downloads/a/action-plan-bidding-zone.html" TargetMode="External"/><Relationship Id="rId1" Type="http://schemas.openxmlformats.org/officeDocument/2006/relationships/hyperlink" Target="https://www.netztransparenz.de/xspproxy/api/staticfiles/ntp-relaunch/dokumente/strommarktdesign/clean-energy-package/cep70%20compliance%20report%202023_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65E955E51717419C076152A5F360F7" ma:contentTypeVersion="6" ma:contentTypeDescription="Create a new document." ma:contentTypeScope="" ma:versionID="810d4a134ce3987b4e5792645cf0c971">
  <xsd:schema xmlns:xsd="http://www.w3.org/2001/XMLSchema" xmlns:xs="http://www.w3.org/2001/XMLSchema" xmlns:p="http://schemas.microsoft.com/office/2006/metadata/properties" xmlns:ns2="1be3ad1f-2fb5-439b-8471-fa4689bdee4b" xmlns:ns3="ff2cd1b6-c457-4a5b-a118-9cfc9d0c316e" targetNamespace="http://schemas.microsoft.com/office/2006/metadata/properties" ma:root="true" ma:fieldsID="b2f31770beb099834b6b2b70f46b055f" ns2:_="" ns3:_="">
    <xsd:import namespace="1be3ad1f-2fb5-439b-8471-fa4689bdee4b"/>
    <xsd:import namespace="ff2cd1b6-c457-4a5b-a118-9cfc9d0c31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3ad1f-2fb5-439b-8471-fa4689bde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cd1b6-c457-4a5b-a118-9cfc9d0c316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763A49-4BE2-4FBC-9682-55885B4E1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3ad1f-2fb5-439b-8471-fa4689bdee4b"/>
    <ds:schemaRef ds:uri="ff2cd1b6-c457-4a5b-a118-9cfc9d0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306474-D0F3-42D0-B06F-D970565A8A98}">
  <ds:schemaRefs>
    <ds:schemaRef ds:uri="http://schemas.openxmlformats.org/officeDocument/2006/bibliography"/>
  </ds:schemaRefs>
</ds:datastoreItem>
</file>

<file path=customXml/itemProps3.xml><?xml version="1.0" encoding="utf-8"?>
<ds:datastoreItem xmlns:ds="http://schemas.openxmlformats.org/officeDocument/2006/customXml" ds:itemID="{DC42B958-E845-4235-8539-CDEA8F4B17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322C05-9AC8-4377-BEB1-7F74B121573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Piotr Łukaszewski</lastModifiedBy>
  <revision>19</revision>
  <dcterms:created xsi:type="dcterms:W3CDTF">2025-01-27T08:12:00.0000000Z</dcterms:created>
  <dcterms:modified xsi:type="dcterms:W3CDTF">2025-02-24T10:32:56.7417346Z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0x0101009A65E955E51717419C076152A5F360F7</vt:lpwstr>
  </property>
</Properties>
</file>